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44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宁夏回族自治区消防安全重点单位</w:t>
      </w:r>
    </w:p>
    <w:p w14:paraId="20DE5A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申报备案登记表</w:t>
      </w:r>
    </w:p>
    <w:p w14:paraId="7E942922">
      <w:pPr>
        <w:pStyle w:val="2"/>
        <w:rPr>
          <w:rFonts w:hint="eastAsia"/>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7"/>
        <w:gridCol w:w="3675"/>
        <w:gridCol w:w="1114"/>
        <w:gridCol w:w="1824"/>
      </w:tblGrid>
      <w:tr w14:paraId="22D6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dxa"/>
            <w:noWrap w:val="0"/>
            <w:vAlign w:val="center"/>
          </w:tcPr>
          <w:p w14:paraId="39054D76">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申报单位名称</w:t>
            </w:r>
          </w:p>
        </w:tc>
        <w:tc>
          <w:tcPr>
            <w:tcW w:w="4082" w:type="dxa"/>
            <w:gridSpan w:val="2"/>
            <w:noWrap w:val="0"/>
            <w:vAlign w:val="center"/>
          </w:tcPr>
          <w:p w14:paraId="04C7C6E8">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黑体" w:hAnsi="黑体" w:eastAsia="黑体" w:cs="黑体"/>
                <w:kern w:val="0"/>
                <w:sz w:val="21"/>
                <w:szCs w:val="21"/>
                <w:vertAlign w:val="baseline"/>
                <w:lang w:val="en-US" w:eastAsia="zh-CN" w:bidi="ar-SA"/>
              </w:rPr>
            </w:pPr>
          </w:p>
        </w:tc>
        <w:tc>
          <w:tcPr>
            <w:tcW w:w="1114" w:type="dxa"/>
            <w:noWrap w:val="0"/>
            <w:vAlign w:val="center"/>
          </w:tcPr>
          <w:p w14:paraId="14207FC7">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color w:val="000000"/>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消防安全责任人</w:t>
            </w:r>
          </w:p>
        </w:tc>
        <w:tc>
          <w:tcPr>
            <w:tcW w:w="1824" w:type="dxa"/>
            <w:noWrap w:val="0"/>
            <w:vAlign w:val="center"/>
          </w:tcPr>
          <w:p w14:paraId="657ACA0E">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黑体" w:hAnsi="黑体" w:eastAsia="黑体" w:cs="黑体"/>
                <w:kern w:val="0"/>
                <w:sz w:val="21"/>
                <w:szCs w:val="21"/>
                <w:vertAlign w:val="baseline"/>
                <w:lang w:val="en-US" w:eastAsia="zh-CN" w:bidi="ar-SA"/>
              </w:rPr>
            </w:pPr>
          </w:p>
        </w:tc>
      </w:tr>
      <w:tr w14:paraId="3A58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dxa"/>
            <w:noWrap w:val="0"/>
            <w:vAlign w:val="center"/>
          </w:tcPr>
          <w:p w14:paraId="2B03437E">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统一社会信用代码</w:t>
            </w:r>
          </w:p>
        </w:tc>
        <w:tc>
          <w:tcPr>
            <w:tcW w:w="4082" w:type="dxa"/>
            <w:gridSpan w:val="2"/>
            <w:noWrap w:val="0"/>
            <w:vAlign w:val="center"/>
          </w:tcPr>
          <w:p w14:paraId="073339BB">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黑体" w:hAnsi="黑体" w:eastAsia="黑体" w:cs="黑体"/>
                <w:kern w:val="0"/>
                <w:sz w:val="21"/>
                <w:szCs w:val="21"/>
                <w:vertAlign w:val="baseline"/>
                <w:lang w:val="en-US" w:eastAsia="zh-CN" w:bidi="ar-SA"/>
              </w:rPr>
            </w:pPr>
          </w:p>
        </w:tc>
        <w:tc>
          <w:tcPr>
            <w:tcW w:w="1114" w:type="dxa"/>
            <w:noWrap w:val="0"/>
            <w:vAlign w:val="center"/>
          </w:tcPr>
          <w:p w14:paraId="26C183AB">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color w:val="000000"/>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联系方式</w:t>
            </w:r>
          </w:p>
        </w:tc>
        <w:tc>
          <w:tcPr>
            <w:tcW w:w="1824" w:type="dxa"/>
            <w:noWrap w:val="0"/>
            <w:vAlign w:val="center"/>
          </w:tcPr>
          <w:p w14:paraId="0E59E273">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黑体" w:hAnsi="黑体" w:eastAsia="黑体" w:cs="黑体"/>
                <w:kern w:val="0"/>
                <w:sz w:val="21"/>
                <w:szCs w:val="21"/>
                <w:vertAlign w:val="baseline"/>
                <w:lang w:val="en-US" w:eastAsia="zh-CN" w:bidi="ar-SA"/>
              </w:rPr>
            </w:pPr>
          </w:p>
        </w:tc>
      </w:tr>
      <w:tr w14:paraId="2963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dxa"/>
            <w:noWrap w:val="0"/>
            <w:vAlign w:val="center"/>
          </w:tcPr>
          <w:p w14:paraId="53583D6D">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color w:val="000000"/>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单位（场所）名称</w:t>
            </w:r>
          </w:p>
        </w:tc>
        <w:tc>
          <w:tcPr>
            <w:tcW w:w="4082" w:type="dxa"/>
            <w:gridSpan w:val="2"/>
            <w:noWrap w:val="0"/>
            <w:vAlign w:val="center"/>
          </w:tcPr>
          <w:p w14:paraId="6664F44F">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黑体" w:hAnsi="黑体" w:eastAsia="黑体" w:cs="黑体"/>
                <w:kern w:val="0"/>
                <w:sz w:val="21"/>
                <w:szCs w:val="21"/>
                <w:vertAlign w:val="baseline"/>
                <w:lang w:val="en-US" w:eastAsia="zh-CN" w:bidi="ar-SA"/>
              </w:rPr>
            </w:pPr>
          </w:p>
        </w:tc>
        <w:tc>
          <w:tcPr>
            <w:tcW w:w="1114" w:type="dxa"/>
            <w:noWrap w:val="0"/>
            <w:vAlign w:val="center"/>
          </w:tcPr>
          <w:p w14:paraId="5AA58B7A">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color w:val="000000"/>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消防安全管理人</w:t>
            </w:r>
          </w:p>
        </w:tc>
        <w:tc>
          <w:tcPr>
            <w:tcW w:w="1824" w:type="dxa"/>
            <w:noWrap w:val="0"/>
            <w:vAlign w:val="center"/>
          </w:tcPr>
          <w:p w14:paraId="3AF4B3DA">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黑体" w:hAnsi="黑体" w:eastAsia="黑体" w:cs="黑体"/>
                <w:kern w:val="0"/>
                <w:sz w:val="21"/>
                <w:szCs w:val="21"/>
                <w:vertAlign w:val="baseline"/>
                <w:lang w:val="en-US" w:eastAsia="zh-CN" w:bidi="ar-SA"/>
              </w:rPr>
            </w:pPr>
          </w:p>
        </w:tc>
      </w:tr>
      <w:tr w14:paraId="0270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dxa"/>
            <w:noWrap w:val="0"/>
            <w:vAlign w:val="center"/>
          </w:tcPr>
          <w:p w14:paraId="6BE9D02E">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单位（场所）地址</w:t>
            </w:r>
          </w:p>
        </w:tc>
        <w:tc>
          <w:tcPr>
            <w:tcW w:w="4082" w:type="dxa"/>
            <w:gridSpan w:val="2"/>
            <w:noWrap w:val="0"/>
            <w:vAlign w:val="center"/>
          </w:tcPr>
          <w:p w14:paraId="403CD600">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黑体" w:hAnsi="黑体" w:eastAsia="黑体" w:cs="黑体"/>
                <w:kern w:val="0"/>
                <w:sz w:val="21"/>
                <w:szCs w:val="21"/>
                <w:vertAlign w:val="baseline"/>
                <w:lang w:val="en-US" w:eastAsia="zh-CN" w:bidi="ar-SA"/>
              </w:rPr>
            </w:pPr>
          </w:p>
        </w:tc>
        <w:tc>
          <w:tcPr>
            <w:tcW w:w="1114" w:type="dxa"/>
            <w:noWrap w:val="0"/>
            <w:vAlign w:val="center"/>
          </w:tcPr>
          <w:p w14:paraId="20F04FEB">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联系方式</w:t>
            </w:r>
          </w:p>
        </w:tc>
        <w:tc>
          <w:tcPr>
            <w:tcW w:w="1824" w:type="dxa"/>
            <w:noWrap w:val="0"/>
            <w:vAlign w:val="center"/>
          </w:tcPr>
          <w:p w14:paraId="6FB36740">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黑体" w:hAnsi="黑体" w:eastAsia="黑体" w:cs="黑体"/>
                <w:kern w:val="0"/>
                <w:sz w:val="21"/>
                <w:szCs w:val="21"/>
                <w:vertAlign w:val="baseline"/>
                <w:lang w:val="en-US" w:eastAsia="zh-CN" w:bidi="ar-SA"/>
              </w:rPr>
            </w:pPr>
          </w:p>
        </w:tc>
      </w:tr>
      <w:tr w14:paraId="3F09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9" w:type="dxa"/>
            <w:gridSpan w:val="2"/>
            <w:noWrap w:val="0"/>
            <w:vAlign w:val="center"/>
          </w:tcPr>
          <w:p w14:paraId="7418D34D">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申报单位主类别</w:t>
            </w:r>
          </w:p>
        </w:tc>
        <w:tc>
          <w:tcPr>
            <w:tcW w:w="6613" w:type="dxa"/>
            <w:gridSpan w:val="3"/>
            <w:noWrap w:val="0"/>
            <w:vAlign w:val="center"/>
          </w:tcPr>
          <w:p w14:paraId="7A00E087">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黑体" w:hAnsi="黑体" w:eastAsia="黑体" w:cs="黑体"/>
                <w:kern w:val="0"/>
                <w:sz w:val="21"/>
                <w:szCs w:val="21"/>
                <w:vertAlign w:val="baseline"/>
                <w:lang w:val="en-US" w:eastAsia="zh-CN" w:bidi="ar-SA"/>
              </w:rPr>
            </w:pPr>
            <w:r>
              <w:rPr>
                <w:rFonts w:hint="eastAsia" w:ascii="黑体" w:hAnsi="黑体" w:eastAsia="黑体" w:cs="黑体"/>
                <w:kern w:val="0"/>
                <w:sz w:val="21"/>
                <w:szCs w:val="21"/>
                <w:vertAlign w:val="baseline"/>
                <w:lang w:val="en-US" w:eastAsia="zh-CN" w:bidi="ar-SA"/>
              </w:rPr>
              <w:t>申报单位分类别</w:t>
            </w:r>
          </w:p>
        </w:tc>
      </w:tr>
      <w:tr w14:paraId="2BB5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restart"/>
            <w:noWrap w:val="0"/>
            <w:vAlign w:val="center"/>
          </w:tcPr>
          <w:p w14:paraId="69785E9D">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t>一、商场（市场）、宾馆（饭店）、体育场（馆）、会堂、公共娱乐等场所</w:t>
            </w:r>
          </w:p>
        </w:tc>
        <w:tc>
          <w:tcPr>
            <w:tcW w:w="6613" w:type="dxa"/>
            <w:gridSpan w:val="3"/>
            <w:noWrap w:val="0"/>
            <w:vAlign w:val="center"/>
          </w:tcPr>
          <w:p w14:paraId="2C7C8CBC">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（一）任意一层建筑面积大于1500平方米或总建筑面积大于3000平方米的商场、市场等商店类场所，总建筑面积大于1000平方米的地下或半地下商场、市场等商店类场所。</w:t>
            </w:r>
          </w:p>
        </w:tc>
      </w:tr>
      <w:tr w14:paraId="6D6E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continue"/>
            <w:noWrap w:val="0"/>
            <w:vAlign w:val="center"/>
          </w:tcPr>
          <w:p w14:paraId="41FF9B6D">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00C2AD3A">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（二）任意一层建筑面积大于1500平方米或总建筑面积大于3000平方米的宾馆、旅馆、酒店、饭店等住宿餐饮类场所</w:t>
            </w:r>
          </w:p>
        </w:tc>
      </w:tr>
      <w:tr w14:paraId="0AE3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continue"/>
            <w:noWrap w:val="0"/>
            <w:vAlign w:val="center"/>
          </w:tcPr>
          <w:p w14:paraId="45C08B63">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03BBA129">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（三）固定座位数大于3000个的公共体育馆，固定座位数大于5000个的公共体育场，固定座位数大于2000个的会堂、礼堂。</w:t>
            </w:r>
          </w:p>
        </w:tc>
      </w:tr>
      <w:tr w14:paraId="64DE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9" w:type="dxa"/>
            <w:gridSpan w:val="2"/>
            <w:vMerge w:val="continue"/>
            <w:noWrap w:val="0"/>
            <w:vAlign w:val="center"/>
          </w:tcPr>
          <w:p w14:paraId="6C5FC56B">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3A134315">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（四）建筑面积大于2500平方米的电影院、影剧院。</w:t>
            </w:r>
          </w:p>
        </w:tc>
      </w:tr>
      <w:tr w14:paraId="293B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909" w:type="dxa"/>
            <w:gridSpan w:val="2"/>
            <w:vMerge w:val="continue"/>
            <w:noWrap w:val="0"/>
            <w:vAlign w:val="center"/>
          </w:tcPr>
          <w:p w14:paraId="00517CF9">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79DF4626">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（五）设在建筑地上第一层至第三层内总建筑面积大于500平方米，或设在其他楼层总建筑面积大于300平方米的公共娱乐类场所：</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1.歌舞厅、KTV、卡拉OK厅等歌舞娱乐场所；</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2.具有娱乐功能的夜总会、音乐茶座（酒吧、咖啡厅）和餐饮场所；</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3.游艺游乐场所；</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4.互联网上网服务营业场所（不含电竞酒店）。</w:t>
            </w:r>
          </w:p>
        </w:tc>
      </w:tr>
      <w:tr w14:paraId="1592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continue"/>
            <w:noWrap w:val="0"/>
            <w:vAlign w:val="center"/>
          </w:tcPr>
          <w:p w14:paraId="08F6C039">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7612B8CC">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（六）建筑面积大于1000平方米的保龄球馆、溜（旱）冰场、桑拿浴室（含足浴）等营业性健身、休闲场所。</w:t>
            </w:r>
          </w:p>
        </w:tc>
      </w:tr>
      <w:tr w14:paraId="20AE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9" w:type="dxa"/>
            <w:gridSpan w:val="2"/>
            <w:vMerge w:val="continue"/>
            <w:noWrap w:val="0"/>
            <w:vAlign w:val="center"/>
          </w:tcPr>
          <w:p w14:paraId="24FF1B6E">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3CCD7F60">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（七）单体建筑内客房总数大于50间的公寓式酒店、电竞酒店。</w:t>
            </w:r>
          </w:p>
        </w:tc>
      </w:tr>
      <w:tr w14:paraId="3C9E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restart"/>
            <w:noWrap w:val="0"/>
            <w:vAlign w:val="center"/>
          </w:tcPr>
          <w:p w14:paraId="2F293EB1">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t>二、医院、养老院、福利院和学校、托儿所、幼儿园</w:t>
            </w:r>
          </w:p>
        </w:tc>
        <w:tc>
          <w:tcPr>
            <w:tcW w:w="6613" w:type="dxa"/>
            <w:gridSpan w:val="3"/>
            <w:noWrap w:val="0"/>
            <w:vAlign w:val="center"/>
          </w:tcPr>
          <w:p w14:paraId="4EF02EFE">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（一）医疗类场所：</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1.二级、三级医院；</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2.病房楼或门诊楼总建筑面积大于2500平方米；</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3.病房楼、门诊楼设在高层民用建筑内。</w:t>
            </w:r>
          </w:p>
        </w:tc>
      </w:tr>
      <w:tr w14:paraId="5CE4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9" w:type="dxa"/>
            <w:gridSpan w:val="2"/>
            <w:vMerge w:val="continue"/>
            <w:noWrap w:val="0"/>
            <w:vAlign w:val="center"/>
          </w:tcPr>
          <w:p w14:paraId="45654EDC">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46E03C31">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（二）床位数大于50张的养老机构、福利机构、救助管理站。</w:t>
            </w:r>
          </w:p>
        </w:tc>
      </w:tr>
      <w:tr w14:paraId="57C3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continue"/>
            <w:noWrap w:val="0"/>
            <w:vAlign w:val="center"/>
          </w:tcPr>
          <w:p w14:paraId="252C6F44">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400186AC">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（三）总建筑面积大于3000平方米，或产妇住宿床位数大于50张的母婴照护服务机构（月子中心）。</w:t>
            </w:r>
          </w:p>
        </w:tc>
      </w:tr>
      <w:tr w14:paraId="7780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continue"/>
            <w:noWrap w:val="0"/>
            <w:vAlign w:val="center"/>
          </w:tcPr>
          <w:p w14:paraId="72AA6BED">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628A8352">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（四）学校类场所：</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1.学生集体宿舍的住宿床位在100张及以上的学校；</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2.大型托儿所、幼儿园；</w:t>
            </w:r>
            <w:r>
              <w:rPr>
                <w:rFonts w:hint="eastAsia" w:ascii="Times New Roman" w:hAnsi="Times New Roman" w:eastAsia="方正仿宋_GBK" w:cs="方正仿宋_GBK"/>
                <w:kern w:val="0"/>
                <w:sz w:val="21"/>
                <w:szCs w:val="21"/>
                <w:vertAlign w:val="baseline"/>
                <w:lang w:val="en-US" w:eastAsia="zh-CN" w:bidi="ar-SA"/>
              </w:rPr>
              <w:sym w:font="Wingdings" w:char="00A8"/>
            </w:r>
            <w:r>
              <w:rPr>
                <w:rFonts w:hint="eastAsia" w:ascii="Times New Roman" w:hAnsi="Times New Roman" w:eastAsia="方正仿宋_GBK" w:cs="方正仿宋_GBK"/>
                <w:kern w:val="0"/>
                <w:sz w:val="21"/>
                <w:szCs w:val="21"/>
                <w:vertAlign w:val="baseline"/>
                <w:lang w:val="en-US" w:eastAsia="zh-CN" w:bidi="ar-SA"/>
              </w:rPr>
              <w:t xml:space="preserve">  3.儿童活动用房总建筑面积大于1500平方米或学生集体宿舍的住宿床位在50张及以上的校外培训机构。</w:t>
            </w:r>
          </w:p>
        </w:tc>
      </w:tr>
      <w:tr w14:paraId="7F43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9" w:type="dxa"/>
            <w:gridSpan w:val="2"/>
            <w:vMerge w:val="restart"/>
            <w:noWrap w:val="0"/>
            <w:vAlign w:val="center"/>
          </w:tcPr>
          <w:p w14:paraId="4EB096C0">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t>三、国家机关、城镇重要场所和设施</w:t>
            </w:r>
          </w:p>
        </w:tc>
        <w:tc>
          <w:tcPr>
            <w:tcW w:w="6613" w:type="dxa"/>
            <w:gridSpan w:val="3"/>
            <w:noWrap w:val="0"/>
            <w:vAlign w:val="center"/>
          </w:tcPr>
          <w:p w14:paraId="4677CF84">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（一）县级以上党委、人大、政府、政协、人民法院、人民检察院。</w:t>
            </w:r>
          </w:p>
        </w:tc>
      </w:tr>
      <w:tr w14:paraId="4B2D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9" w:type="dxa"/>
            <w:gridSpan w:val="2"/>
            <w:vMerge w:val="continue"/>
            <w:noWrap w:val="0"/>
            <w:vAlign w:val="center"/>
          </w:tcPr>
          <w:p w14:paraId="73C20C18">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3D9E18A2">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（二）县级以上的广播电台、电视台。</w:t>
            </w:r>
          </w:p>
        </w:tc>
      </w:tr>
      <w:tr w14:paraId="36F4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9" w:type="dxa"/>
            <w:gridSpan w:val="2"/>
            <w:vMerge w:val="continue"/>
            <w:noWrap w:val="0"/>
            <w:vAlign w:val="center"/>
          </w:tcPr>
          <w:p w14:paraId="20FEAED5">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6A93FAD9">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（三）县级以上邮政、通信枢纽、防灾指挥调度单位。</w:t>
            </w:r>
          </w:p>
        </w:tc>
      </w:tr>
      <w:tr w14:paraId="2536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9" w:type="dxa"/>
            <w:gridSpan w:val="2"/>
            <w:vMerge w:val="continue"/>
            <w:noWrap w:val="0"/>
            <w:vAlign w:val="center"/>
          </w:tcPr>
          <w:p w14:paraId="5C3A6EE4">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4BD029B2">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（四）政府储备粮食仓储库。</w:t>
            </w:r>
          </w:p>
        </w:tc>
      </w:tr>
      <w:tr w14:paraId="5311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9" w:type="dxa"/>
            <w:gridSpan w:val="2"/>
            <w:vMerge w:val="continue"/>
            <w:noWrap w:val="0"/>
            <w:vAlign w:val="center"/>
          </w:tcPr>
          <w:p w14:paraId="3C862B2B">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46607591">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（五）县级以上政务服务中心。</w:t>
            </w:r>
          </w:p>
        </w:tc>
      </w:tr>
      <w:tr w14:paraId="1A4A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9" w:type="dxa"/>
            <w:gridSpan w:val="2"/>
            <w:vMerge w:val="continue"/>
            <w:noWrap w:val="0"/>
            <w:vAlign w:val="center"/>
          </w:tcPr>
          <w:p w14:paraId="2AC8C495">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0C7485BD">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（六）市级以上的数据处理中心。</w:t>
            </w:r>
          </w:p>
        </w:tc>
      </w:tr>
      <w:tr w14:paraId="321A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continue"/>
            <w:noWrap w:val="0"/>
            <w:vAlign w:val="center"/>
          </w:tcPr>
          <w:p w14:paraId="1A92FC95">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4F2C24B1">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（七）建筑面积大于50000平方米的团体、企业、事业单位办公场所。</w:t>
            </w:r>
          </w:p>
        </w:tc>
      </w:tr>
      <w:tr w14:paraId="1F32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continue"/>
            <w:noWrap w:val="0"/>
            <w:vAlign w:val="center"/>
          </w:tcPr>
          <w:p w14:paraId="47540AB1">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0F905E8E">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（八）高层公共建筑的办公楼、写字楼、公寓楼（不包含商住楼的住宅部分）。</w:t>
            </w:r>
          </w:p>
        </w:tc>
      </w:tr>
      <w:tr w14:paraId="77FB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9" w:type="dxa"/>
            <w:gridSpan w:val="2"/>
            <w:vMerge w:val="continue"/>
            <w:noWrap w:val="0"/>
            <w:vAlign w:val="center"/>
          </w:tcPr>
          <w:p w14:paraId="78731DBB">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3A718509">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（九）总储存面积大于10000平方米的可燃物品仓储物流企业。</w:t>
            </w:r>
          </w:p>
        </w:tc>
      </w:tr>
      <w:tr w14:paraId="0130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restart"/>
            <w:noWrap w:val="0"/>
            <w:vAlign w:val="center"/>
          </w:tcPr>
          <w:p w14:paraId="6F8392A3">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t>四、交通枢纽</w:t>
            </w:r>
          </w:p>
        </w:tc>
        <w:tc>
          <w:tcPr>
            <w:tcW w:w="6613" w:type="dxa"/>
            <w:gridSpan w:val="3"/>
            <w:noWrap w:val="0"/>
            <w:vAlign w:val="center"/>
          </w:tcPr>
          <w:p w14:paraId="65A1C5BC">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（一）民用机场航站楼。</w:t>
            </w:r>
          </w:p>
        </w:tc>
      </w:tr>
      <w:tr w14:paraId="7D79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6B0E028D">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6A883BDF">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（二）候车（船）厅总建筑面积大于1000平方米的公路客运车站、船舶码头。</w:t>
            </w:r>
          </w:p>
        </w:tc>
      </w:tr>
      <w:tr w14:paraId="38EE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restart"/>
            <w:noWrap w:val="0"/>
            <w:vAlign w:val="center"/>
          </w:tcPr>
          <w:p w14:paraId="5312C8E4">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t>五、公共图书馆、展览馆、博物馆，档案馆，文物保护单位，旅游景区，宗教场所</w:t>
            </w:r>
          </w:p>
        </w:tc>
        <w:tc>
          <w:tcPr>
            <w:tcW w:w="6613" w:type="dxa"/>
            <w:gridSpan w:val="3"/>
            <w:noWrap w:val="0"/>
            <w:vAlign w:val="center"/>
          </w:tcPr>
          <w:p w14:paraId="1D54FC1D">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（一）任一层建筑面积大于1500平方米或总建筑面积大于3000平方米且对公众开放的公共图书馆、展览馆、博物馆类场所。</w:t>
            </w:r>
          </w:p>
        </w:tc>
      </w:tr>
      <w:tr w14:paraId="6D9B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65800C89">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4789F10A">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（二）县级以上档案馆。</w:t>
            </w:r>
          </w:p>
        </w:tc>
      </w:tr>
      <w:tr w14:paraId="4D99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5548AD05">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7E5195F7">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（三）具有火灾危险性的省级以上文物保护单位、世界文化遗产。</w:t>
            </w:r>
          </w:p>
        </w:tc>
      </w:tr>
      <w:tr w14:paraId="6A9C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6BB666E7">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2579C087">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（四）AAAA级以上旅游景区。</w:t>
            </w:r>
          </w:p>
        </w:tc>
      </w:tr>
      <w:tr w14:paraId="1EBD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0E8E7F69">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21E861A3">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（五）对公众开放，兼具旅游、观光、娱乐、住宿等功能的葡萄酒生产加工企业。</w:t>
            </w:r>
          </w:p>
        </w:tc>
      </w:tr>
      <w:tr w14:paraId="6A92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01D86234">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68380A87">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（六）殿堂厅（室）建筑面积大于1000平方米以上的宗教活动场所。</w:t>
            </w:r>
          </w:p>
        </w:tc>
      </w:tr>
      <w:tr w14:paraId="195F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restart"/>
            <w:noWrap w:val="0"/>
            <w:vAlign w:val="center"/>
          </w:tcPr>
          <w:p w14:paraId="45505206">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t>六、发电厂（站）和电网经营单位</w:t>
            </w:r>
          </w:p>
        </w:tc>
        <w:tc>
          <w:tcPr>
            <w:tcW w:w="6613" w:type="dxa"/>
            <w:gridSpan w:val="3"/>
            <w:noWrap w:val="0"/>
            <w:vAlign w:val="center"/>
          </w:tcPr>
          <w:p w14:paraId="403605A2">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（一）总装机容量大于300MW的火力发电厂，总装机容量大于100MW的水力发电站。</w:t>
            </w:r>
          </w:p>
        </w:tc>
      </w:tr>
      <w:tr w14:paraId="6E52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38FCCFBD">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314EF083">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（二）总装机容量大于200MW的光伏发电站、风力发电站或联合发电站。</w:t>
            </w:r>
          </w:p>
        </w:tc>
      </w:tr>
      <w:tr w14:paraId="54B6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43D0B9C1">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6604C0FB">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（三）电压等级大于330KV的输变电场站。</w:t>
            </w:r>
          </w:p>
        </w:tc>
      </w:tr>
      <w:tr w14:paraId="28B1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3EF381AD">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6AE61811">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（四）功率为200MW且容量为400MW·h及以上电化学储能电站。</w:t>
            </w:r>
          </w:p>
        </w:tc>
      </w:tr>
      <w:tr w14:paraId="225A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08BDC133">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471E9681">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（五）城市或区域性电力指挥调度中心、电网经营企业。</w:t>
            </w:r>
          </w:p>
        </w:tc>
      </w:tr>
      <w:tr w14:paraId="27E4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restart"/>
            <w:noWrap w:val="0"/>
            <w:vAlign w:val="center"/>
          </w:tcPr>
          <w:p w14:paraId="1AFED943">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t>七、易燃易爆化学物品的生产、充装、储存、供应、销售单位</w:t>
            </w:r>
          </w:p>
        </w:tc>
        <w:tc>
          <w:tcPr>
            <w:tcW w:w="6613" w:type="dxa"/>
            <w:gridSpan w:val="3"/>
            <w:noWrap w:val="0"/>
            <w:vAlign w:val="center"/>
          </w:tcPr>
          <w:p w14:paraId="6F7325C3">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（一）建有甲、乙类储罐区单座容积大于5000立方米或者总容积大于20000立方米的企业。</w:t>
            </w:r>
          </w:p>
        </w:tc>
      </w:tr>
      <w:tr w14:paraId="0EDB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427E2754">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5B6A1A6A">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（二）建有液化烃（含液化石油气）储罐单座容积大于500立方米或者总容积大于2000立方米的企业。 </w:t>
            </w:r>
          </w:p>
        </w:tc>
      </w:tr>
      <w:tr w14:paraId="58B2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1C38C1A3">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274DD2A9">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（三）建有甲类厂房总建筑面积大于1000平方米或乙类厂房总建筑面积大于2000平方米的企业。</w:t>
            </w:r>
          </w:p>
        </w:tc>
      </w:tr>
      <w:tr w14:paraId="2BEF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1CF55880">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466A85BE">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（四）建有甲类物品仓库总建筑面积大于500平方米或乙类物品仓库总建筑面积大于1000平方米的企业。</w:t>
            </w:r>
          </w:p>
        </w:tc>
      </w:tr>
      <w:tr w14:paraId="7471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72B02888">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6BB1C340">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（五）县级以上城镇燃气生产、储存、经营企业。</w:t>
            </w:r>
          </w:p>
        </w:tc>
      </w:tr>
      <w:tr w14:paraId="59F4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4674E9CC">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1A807726">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（六）二级以上汽车加油、加气、加氢站（含合建站）。</w:t>
            </w:r>
          </w:p>
        </w:tc>
      </w:tr>
      <w:tr w14:paraId="54B0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restart"/>
            <w:noWrap w:val="0"/>
            <w:vAlign w:val="center"/>
          </w:tcPr>
          <w:p w14:paraId="0B097E15">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t>八、其他发生火灾可能性较大或一旦发生火灾可能造成人身重大伤亡或者财产重大损失的单位</w:t>
            </w:r>
          </w:p>
        </w:tc>
        <w:tc>
          <w:tcPr>
            <w:tcW w:w="6613" w:type="dxa"/>
            <w:gridSpan w:val="3"/>
            <w:noWrap w:val="0"/>
            <w:vAlign w:val="center"/>
          </w:tcPr>
          <w:p w14:paraId="44A6046F">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（一）自治区级以上科研单位。</w:t>
            </w:r>
          </w:p>
        </w:tc>
      </w:tr>
      <w:tr w14:paraId="7354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45301BCE">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63C908E9">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（二）金融机构：</w:t>
            </w: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1.分行级以上银行办公场所；</w:t>
            </w: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2.银行业、保险业、证券业数据处理中心。</w:t>
            </w:r>
          </w:p>
        </w:tc>
      </w:tr>
      <w:tr w14:paraId="2A2F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6FFED303">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04FA54A3">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（三）建筑面积大于500平方米的剧本杀、密室逃脱等剧本娱乐经营场所。</w:t>
            </w:r>
          </w:p>
        </w:tc>
      </w:tr>
      <w:tr w14:paraId="1D0B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2DF35FDB">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05FC9EBE">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（四）同一工作时间段生产车间员工人数大于50人或总建筑面积大于6000平方米，从事服装、鞋帽、纺织、玩具、木制品、电子、塑料、食品加工、印刷等劳动密集型企业。</w:t>
            </w:r>
          </w:p>
        </w:tc>
      </w:tr>
      <w:tr w14:paraId="4800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659D6465">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7AF23AF3">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（五）厂区（矿区）内建有总建筑面积大于3000平方米员工集体宿舍的企业。</w:t>
            </w:r>
          </w:p>
        </w:tc>
      </w:tr>
      <w:tr w14:paraId="5797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9" w:type="dxa"/>
            <w:gridSpan w:val="2"/>
            <w:vMerge w:val="continue"/>
            <w:noWrap w:val="0"/>
            <w:vAlign w:val="center"/>
          </w:tcPr>
          <w:p w14:paraId="7250DA2E">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p>
        </w:tc>
        <w:tc>
          <w:tcPr>
            <w:tcW w:w="6613" w:type="dxa"/>
            <w:gridSpan w:val="3"/>
            <w:noWrap w:val="0"/>
            <w:vAlign w:val="center"/>
          </w:tcPr>
          <w:p w14:paraId="59901ED4">
            <w:pPr>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color w:val="000000"/>
                <w:kern w:val="0"/>
                <w:sz w:val="21"/>
                <w:szCs w:val="21"/>
                <w:vertAlign w:val="baseline"/>
                <w:lang w:val="en-US" w:eastAsia="zh-CN" w:bidi="ar-SA"/>
              </w:rPr>
            </w:pPr>
            <w:r>
              <w:rPr>
                <w:rFonts w:hint="eastAsia" w:ascii="Times New Roman" w:hAnsi="Times New Roman" w:eastAsia="方正仿宋_GBK" w:cs="方正仿宋_GBK"/>
                <w:color w:val="000000"/>
                <w:kern w:val="0"/>
                <w:sz w:val="21"/>
                <w:szCs w:val="21"/>
                <w:vertAlign w:val="baseline"/>
                <w:lang w:val="en-US" w:eastAsia="zh-CN" w:bidi="ar-SA"/>
              </w:rPr>
              <w:sym w:font="Wingdings" w:char="00A8"/>
            </w:r>
            <w:r>
              <w:rPr>
                <w:rFonts w:hint="eastAsia" w:ascii="Times New Roman" w:hAnsi="Times New Roman" w:eastAsia="方正仿宋_GBK" w:cs="方正仿宋_GBK"/>
                <w:color w:val="000000"/>
                <w:kern w:val="0"/>
                <w:sz w:val="21"/>
                <w:szCs w:val="21"/>
                <w:vertAlign w:val="baseline"/>
                <w:lang w:val="en-US" w:eastAsia="zh-CN" w:bidi="ar-SA"/>
              </w:rPr>
              <w:t xml:space="preserve">  （六）固定资产（建筑、设备、原材料等，不含土地价值）价值大于5000万元的工业企业。</w:t>
            </w:r>
          </w:p>
        </w:tc>
      </w:tr>
      <w:tr w14:paraId="60D7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5"/>
            <w:noWrap w:val="0"/>
            <w:vAlign w:val="center"/>
          </w:tcPr>
          <w:p w14:paraId="0558486F">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420" w:firstLineChars="200"/>
              <w:jc w:val="both"/>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根据《中华人民共和国消防法》《宁夏回族自治区实施〈消防法〉办法》《机关、团体、企业、事业单位消防安全管理规定》和《宁夏回族自治区消防安全重点单位界定标准》，我单位属消防安全重点单位，现申报备案。</w:t>
            </w:r>
          </w:p>
          <w:p w14:paraId="33BF2871">
            <w:pPr>
              <w:rPr>
                <w:rFonts w:hint="eastAsia" w:ascii="方正仿宋_GBK" w:hAnsi="方正仿宋_GBK" w:eastAsia="方正仿宋_GBK" w:cs="方正仿宋_GBK"/>
                <w:sz w:val="21"/>
                <w:szCs w:val="21"/>
                <w:lang w:val="en-US" w:eastAsia="zh-CN"/>
              </w:rPr>
            </w:pPr>
          </w:p>
          <w:p w14:paraId="796689D0">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         法人代表人或主要负责人（签名）：</w:t>
            </w:r>
          </w:p>
          <w:p w14:paraId="098175FD">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                                                    （加盖单位盖章）</w:t>
            </w:r>
          </w:p>
          <w:p w14:paraId="6CD7537A">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                                                    年    月    日</w:t>
            </w:r>
          </w:p>
          <w:p w14:paraId="3F78E697">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lang w:val="en-US" w:eastAsia="zh-CN"/>
              </w:rPr>
            </w:pPr>
          </w:p>
        </w:tc>
      </w:tr>
      <w:tr w14:paraId="7D77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522" w:type="dxa"/>
            <w:gridSpan w:val="5"/>
            <w:noWrap w:val="0"/>
            <w:vAlign w:val="center"/>
          </w:tcPr>
          <w:p w14:paraId="576D1499">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方正黑体_GBK" w:hAnsi="方正黑体_GBK" w:eastAsia="方正黑体_GBK" w:cs="方正黑体_GBK"/>
                <w:kern w:val="0"/>
                <w:sz w:val="21"/>
                <w:szCs w:val="21"/>
                <w:vertAlign w:val="baseline"/>
                <w:lang w:val="en-US" w:eastAsia="zh-CN" w:bidi="ar-SA"/>
              </w:rPr>
              <w:t>备注：</w:t>
            </w:r>
            <w:r>
              <w:rPr>
                <w:rFonts w:hint="eastAsia" w:ascii="Times New Roman" w:hAnsi="Times New Roman" w:eastAsia="方正仿宋_GBK" w:cs="方正仿宋_GBK"/>
                <w:kern w:val="0"/>
                <w:sz w:val="21"/>
                <w:szCs w:val="21"/>
                <w:vertAlign w:val="baseline"/>
                <w:lang w:val="en-US" w:eastAsia="zh-CN" w:bidi="ar-SA"/>
              </w:rPr>
              <w:t>1.单位名称为申报单位的统一社会信用代码证或者营业执照等证照登记名称；</w:t>
            </w:r>
          </w:p>
          <w:p w14:paraId="4351BFA3">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630" w:firstLineChars="300"/>
              <w:jc w:val="both"/>
              <w:textAlignment w:val="auto"/>
              <w:rPr>
                <w:rFonts w:hint="eastAsia" w:ascii="Times New Roman" w:hAnsi="Times New Roman" w:eastAsia="方正仿宋_GBK" w:cs="方正仿宋_GBK"/>
                <w:kern w:val="0"/>
                <w:sz w:val="21"/>
                <w:szCs w:val="21"/>
                <w:vertAlign w:val="baseline"/>
                <w:lang w:val="en-US" w:eastAsia="zh-CN" w:bidi="ar-SA"/>
              </w:rPr>
            </w:pPr>
            <w:r>
              <w:rPr>
                <w:rFonts w:hint="eastAsia" w:ascii="Times New Roman" w:hAnsi="Times New Roman" w:eastAsia="方正仿宋_GBK" w:cs="方正仿宋_GBK"/>
                <w:kern w:val="0"/>
                <w:sz w:val="21"/>
                <w:szCs w:val="21"/>
                <w:vertAlign w:val="baseline"/>
                <w:lang w:val="en-US" w:eastAsia="zh-CN" w:bidi="ar-SA"/>
              </w:rPr>
              <w:t>2.申报单位在申报类别栏中选择最合适的一项打“√”；</w:t>
            </w:r>
          </w:p>
          <w:p w14:paraId="3FE2EFD9">
            <w:pPr>
              <w:pStyle w:val="2"/>
              <w:keepNext w:val="0"/>
              <w:keepLines w:val="0"/>
              <w:pageBreakBefore w:val="0"/>
              <w:widowControl w:val="0"/>
              <w:tabs>
                <w:tab w:val="left" w:pos="540"/>
              </w:tabs>
              <w:kinsoku/>
              <w:wordWrap/>
              <w:overflowPunct/>
              <w:topLinePunct w:val="0"/>
              <w:autoSpaceDE/>
              <w:autoSpaceDN/>
              <w:bidi w:val="0"/>
              <w:adjustRightInd/>
              <w:snapToGrid/>
              <w:spacing w:after="0" w:line="240" w:lineRule="exact"/>
              <w:ind w:left="0" w:leftChars="0" w:firstLine="630" w:firstLineChars="300"/>
              <w:jc w:val="both"/>
              <w:textAlignment w:val="auto"/>
              <w:rPr>
                <w:rFonts w:hint="default"/>
                <w:lang w:val="en-US" w:eastAsia="zh-CN"/>
              </w:rPr>
            </w:pPr>
            <w:r>
              <w:rPr>
                <w:rFonts w:hint="eastAsia" w:ascii="Times New Roman" w:hAnsi="Times New Roman" w:eastAsia="方正仿宋_GBK" w:cs="方正仿宋_GBK"/>
                <w:kern w:val="0"/>
                <w:sz w:val="21"/>
                <w:szCs w:val="21"/>
                <w:vertAlign w:val="baseline"/>
                <w:lang w:val="en-US" w:eastAsia="zh-CN" w:bidi="ar-SA"/>
              </w:rPr>
              <w:t>3.此表正反印制，一式一式两份，一份由申报单位留存，一份由消防部门存档。</w:t>
            </w:r>
          </w:p>
        </w:tc>
      </w:tr>
    </w:tbl>
    <w:p w14:paraId="33104695">
      <w:pPr>
        <w:rPr>
          <w:sz w:val="13"/>
          <w:szCs w:val="13"/>
        </w:rPr>
      </w:pPr>
      <w:bookmarkStart w:id="0" w:name="_GoBack"/>
      <w:bookmarkEnd w:id="0"/>
    </w:p>
    <w:sectPr>
      <w:pgSz w:w="11906" w:h="16838"/>
      <w:pgMar w:top="1417" w:right="1417" w:bottom="1417" w:left="1417" w:header="851" w:footer="992" w:gutter="0"/>
      <w:pgNumType w:fmt="numberInDash" w:start="1"/>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黑体_GBK">
    <w:panose1 w:val="02000000000000000000"/>
    <w:charset w:val="86"/>
    <w:family w:val="script"/>
    <w:pitch w:val="default"/>
    <w:sig w:usb0="00000001" w:usb1="08000000" w:usb2="00000000" w:usb3="00000000" w:csb0="00040000" w:csb1="00000000"/>
  </w:font>
  <w:font w:name="Kingsoft UE">
    <w:panose1 w:val="02000100010000000000"/>
    <w:charset w:val="00"/>
    <w:family w:val="auto"/>
    <w:pitch w:val="default"/>
    <w:sig w:usb0="00000001" w:usb1="00004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MDA0MjNjMjZmM2JlNTBiODI0MzEzNDZhNWQwNGMifQ=="/>
  </w:docVars>
  <w:rsids>
    <w:rsidRoot w:val="6068731E"/>
    <w:rsid w:val="004D552C"/>
    <w:rsid w:val="4D2F5C7D"/>
    <w:rsid w:val="6068731E"/>
    <w:rsid w:val="BBFDA871"/>
    <w:rsid w:val="F5B754A9"/>
    <w:rsid w:val="FD1CE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0"/>
    </w:rPr>
  </w:style>
  <w:style w:type="paragraph" w:styleId="3">
    <w:name w:val="Body Text Indent"/>
    <w:basedOn w:val="1"/>
    <w:next w:val="4"/>
    <w:qFormat/>
    <w:uiPriority w:val="0"/>
    <w:pPr>
      <w:ind w:left="420" w:leftChars="200"/>
    </w:pPr>
    <w:rPr>
      <w:rFonts w:hint="eastAsia" w:ascii="Times New Roman" w:hAnsi="Times New Roman"/>
    </w:rPr>
  </w:style>
  <w:style w:type="paragraph" w:styleId="4">
    <w:name w:val="Normal Indent"/>
    <w:basedOn w:val="1"/>
    <w:next w:val="1"/>
    <w:qFormat/>
    <w:uiPriority w:val="99"/>
    <w:pPr>
      <w:ind w:firstLine="420" w:firstLineChars="200"/>
    </w:pPr>
    <w:rPr>
      <w:rFonts w:eastAsia="仿宋"/>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2024-08-20T15:35:00Z</dcterms:created>
  <dc:creator>陈奇伟</dc:creator>
  <cp:lastModifiedBy>user</cp:lastModifiedBy>
  <dcterms:modified xsi:type="dcterms:W3CDTF">2025-04-17T17:23:14Z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61CB77E6E060C79182C80068A9EAEB69_43</vt:lpwstr>
  </property>
</Properties>
</file>