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22" w:rsidRDefault="00FB6EE9">
      <w:pPr>
        <w:spacing w:line="560" w:lineRule="exact"/>
        <w:rPr>
          <w:rFonts w:ascii="黑体" w:eastAsia="黑体" w:hAnsi="黑体" w:cs="黑体"/>
          <w:sz w:val="32"/>
          <w:szCs w:val="40"/>
        </w:rPr>
      </w:pPr>
      <w:r>
        <w:rPr>
          <w:rFonts w:ascii="黑体" w:eastAsia="黑体" w:hAnsi="黑体" w:cs="黑体" w:hint="eastAsia"/>
          <w:sz w:val="32"/>
          <w:szCs w:val="40"/>
        </w:rPr>
        <w:t>附件1</w:t>
      </w:r>
    </w:p>
    <w:p w:rsidR="00722A22" w:rsidRDefault="00FB6EE9">
      <w:pPr>
        <w:pStyle w:val="3"/>
        <w:spacing w:before="240" w:after="120" w:line="560" w:lineRule="exact"/>
        <w:jc w:val="center"/>
        <w:rPr>
          <w:rFonts w:ascii="Times New Roman" w:eastAsia="方正小标宋简体" w:hAnsi="Times New Roman" w:cs="Times New Roman"/>
          <w:b w:val="0"/>
          <w:sz w:val="44"/>
          <w:szCs w:val="44"/>
        </w:rPr>
      </w:pPr>
      <w:r>
        <w:rPr>
          <w:rFonts w:ascii="Times New Roman" w:eastAsia="方正小标宋简体" w:hAnsi="Times New Roman" w:cs="Times New Roman"/>
          <w:b w:val="0"/>
          <w:sz w:val="44"/>
          <w:szCs w:val="44"/>
        </w:rPr>
        <w:t>运营服务质量日常监督考核实施细则（试行）</w:t>
      </w:r>
    </w:p>
    <w:tbl>
      <w:tblPr>
        <w:tblStyle w:val="a6"/>
        <w:tblW w:w="14334" w:type="dxa"/>
        <w:tblInd w:w="-160" w:type="dxa"/>
        <w:tblLayout w:type="fixed"/>
        <w:tblLook w:val="04A0"/>
      </w:tblPr>
      <w:tblGrid>
        <w:gridCol w:w="796"/>
        <w:gridCol w:w="3154"/>
        <w:gridCol w:w="4545"/>
        <w:gridCol w:w="5383"/>
        <w:gridCol w:w="456"/>
      </w:tblGrid>
      <w:tr w:rsidR="00722A22">
        <w:trPr>
          <w:trHeight w:val="70"/>
        </w:trPr>
        <w:tc>
          <w:tcPr>
            <w:tcW w:w="796" w:type="dxa"/>
            <w:vAlign w:val="center"/>
          </w:tcPr>
          <w:p w:rsidR="00722A22" w:rsidRDefault="00FB6EE9">
            <w:pPr>
              <w:pStyle w:val="a8"/>
              <w:snapToGrid w:val="0"/>
              <w:jc w:val="center"/>
              <w:rPr>
                <w:rFonts w:ascii="仿宋_GB2312" w:eastAsia="仿宋_GB2312" w:hAnsi="仿宋_GB2312" w:cs="仿宋_GB2312"/>
                <w:b/>
                <w:bCs w:val="0"/>
                <w:sz w:val="22"/>
                <w:szCs w:val="22"/>
              </w:rPr>
            </w:pPr>
            <w:r>
              <w:rPr>
                <w:rFonts w:ascii="仿宋_GB2312" w:eastAsia="仿宋_GB2312" w:hAnsi="仿宋_GB2312" w:cs="仿宋_GB2312" w:hint="eastAsia"/>
                <w:b/>
                <w:bCs w:val="0"/>
                <w:sz w:val="22"/>
                <w:szCs w:val="22"/>
              </w:rPr>
              <w:t>考核内容</w:t>
            </w:r>
          </w:p>
        </w:tc>
        <w:tc>
          <w:tcPr>
            <w:tcW w:w="3154" w:type="dxa"/>
            <w:vAlign w:val="center"/>
          </w:tcPr>
          <w:p w:rsidR="00722A22" w:rsidRDefault="00FB6EE9">
            <w:pPr>
              <w:pStyle w:val="a8"/>
              <w:snapToGrid w:val="0"/>
              <w:jc w:val="center"/>
              <w:rPr>
                <w:rFonts w:ascii="仿宋_GB2312" w:eastAsia="仿宋_GB2312" w:hAnsi="仿宋_GB2312" w:cs="仿宋_GB2312"/>
                <w:b/>
                <w:bCs w:val="0"/>
                <w:sz w:val="22"/>
                <w:szCs w:val="22"/>
              </w:rPr>
            </w:pPr>
            <w:r>
              <w:rPr>
                <w:rFonts w:ascii="仿宋_GB2312" w:eastAsia="仿宋_GB2312" w:hAnsi="仿宋_GB2312" w:cs="仿宋_GB2312" w:hint="eastAsia"/>
                <w:b/>
                <w:bCs w:val="0"/>
                <w:sz w:val="22"/>
                <w:szCs w:val="22"/>
              </w:rPr>
              <w:t>指标名称</w:t>
            </w:r>
          </w:p>
        </w:tc>
        <w:tc>
          <w:tcPr>
            <w:tcW w:w="4545" w:type="dxa"/>
            <w:vAlign w:val="center"/>
          </w:tcPr>
          <w:p w:rsidR="00722A22" w:rsidRDefault="00FB6EE9">
            <w:pPr>
              <w:pStyle w:val="a8"/>
              <w:snapToGrid w:val="0"/>
              <w:jc w:val="center"/>
              <w:rPr>
                <w:rFonts w:ascii="仿宋_GB2312" w:eastAsia="仿宋_GB2312" w:hAnsi="仿宋_GB2312" w:cs="仿宋_GB2312"/>
                <w:b/>
                <w:bCs w:val="0"/>
                <w:sz w:val="22"/>
                <w:szCs w:val="22"/>
              </w:rPr>
            </w:pPr>
            <w:r>
              <w:rPr>
                <w:rFonts w:ascii="仿宋_GB2312" w:eastAsia="仿宋_GB2312" w:hAnsi="仿宋_GB2312" w:cs="仿宋_GB2312" w:hint="eastAsia"/>
                <w:b/>
                <w:bCs w:val="0"/>
                <w:sz w:val="22"/>
                <w:szCs w:val="22"/>
              </w:rPr>
              <w:t>考核标准</w:t>
            </w:r>
          </w:p>
        </w:tc>
        <w:tc>
          <w:tcPr>
            <w:tcW w:w="5383" w:type="dxa"/>
            <w:vAlign w:val="center"/>
          </w:tcPr>
          <w:p w:rsidR="00722A22" w:rsidRDefault="00FB6EE9">
            <w:pPr>
              <w:pStyle w:val="a8"/>
              <w:snapToGrid w:val="0"/>
              <w:jc w:val="center"/>
              <w:rPr>
                <w:rFonts w:ascii="仿宋_GB2312" w:eastAsia="仿宋_GB2312" w:hAnsi="仿宋_GB2312" w:cs="仿宋_GB2312"/>
                <w:b/>
                <w:bCs w:val="0"/>
                <w:sz w:val="22"/>
                <w:szCs w:val="22"/>
              </w:rPr>
            </w:pPr>
            <w:r>
              <w:rPr>
                <w:rFonts w:ascii="仿宋_GB2312" w:eastAsia="仿宋_GB2312" w:hAnsi="仿宋_GB2312" w:cs="仿宋_GB2312" w:hint="eastAsia"/>
                <w:b/>
                <w:bCs w:val="0"/>
                <w:sz w:val="22"/>
                <w:szCs w:val="22"/>
              </w:rPr>
              <w:t>评分标准</w:t>
            </w:r>
          </w:p>
        </w:tc>
        <w:tc>
          <w:tcPr>
            <w:tcW w:w="456" w:type="dxa"/>
            <w:vAlign w:val="center"/>
          </w:tcPr>
          <w:p w:rsidR="00722A22" w:rsidRDefault="00FB6EE9">
            <w:pPr>
              <w:pStyle w:val="a8"/>
              <w:snapToGrid w:val="0"/>
              <w:jc w:val="both"/>
              <w:rPr>
                <w:rFonts w:ascii="仿宋_GB2312" w:eastAsia="仿宋_GB2312" w:hAnsi="仿宋_GB2312" w:cs="仿宋_GB2312"/>
                <w:b/>
                <w:bCs w:val="0"/>
                <w:sz w:val="22"/>
                <w:szCs w:val="22"/>
              </w:rPr>
            </w:pPr>
            <w:r>
              <w:rPr>
                <w:rFonts w:ascii="仿宋_GB2312" w:eastAsia="仿宋_GB2312" w:hAnsi="仿宋_GB2312" w:cs="仿宋_GB2312" w:hint="eastAsia"/>
                <w:b/>
                <w:bCs w:val="0"/>
                <w:sz w:val="22"/>
                <w:szCs w:val="22"/>
              </w:rPr>
              <w:t>指标得分</w:t>
            </w:r>
          </w:p>
        </w:tc>
      </w:tr>
      <w:tr w:rsidR="00722A22">
        <w:trPr>
          <w:trHeight w:val="2179"/>
        </w:trPr>
        <w:tc>
          <w:tcPr>
            <w:tcW w:w="796" w:type="dxa"/>
            <w:vMerge w:val="restart"/>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日常考核质量指标（满分100分）</w:t>
            </w:r>
          </w:p>
        </w:tc>
        <w:tc>
          <w:tcPr>
            <w:tcW w:w="3154"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财务记录完备性</w:t>
            </w:r>
          </w:p>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（10分）</w:t>
            </w: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企业按照二级科目核算建立健全企业财务记账，提交科目余额表和凭证表，其中运营收入包括营运收入、广告收入、政府补贴收入以及其他收入。运营成本主要包括人员工资及工资性附加、燃料费、修理费、轮胎消耗费、固定资产折旧、其他直接运营费用、管理费用、年检费，GPS使用服务费，财务费用等与公交运营成本相关的成本费用。</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企业无法提供科目余额表和凭证表扣10分，相关表格不符合《企业会计准则》和《企业会计制度》的扣5分。对考核过程，</w:t>
            </w:r>
            <w:proofErr w:type="gramStart"/>
            <w:r>
              <w:rPr>
                <w:rFonts w:ascii="仿宋_GB2312" w:eastAsia="仿宋_GB2312" w:hAnsi="仿宋_GB2312" w:cs="仿宋_GB2312" w:hint="eastAsia"/>
                <w:sz w:val="22"/>
                <w:szCs w:val="22"/>
              </w:rPr>
              <w:t>财务台</w:t>
            </w:r>
            <w:proofErr w:type="gramEnd"/>
            <w:r>
              <w:rPr>
                <w:rFonts w:ascii="仿宋_GB2312" w:eastAsia="仿宋_GB2312" w:hAnsi="仿宋_GB2312" w:cs="仿宋_GB2312" w:hint="eastAsia"/>
                <w:sz w:val="22"/>
                <w:szCs w:val="22"/>
              </w:rPr>
              <w:t>账不规范的进行完善，下次考核中仍未完整的，此项不得分。</w:t>
            </w:r>
          </w:p>
          <w:p w:rsidR="00722A22" w:rsidRDefault="00722A22">
            <w:pPr>
              <w:pStyle w:val="a8"/>
              <w:snapToGrid w:val="0"/>
              <w:jc w:val="both"/>
              <w:rPr>
                <w:rFonts w:ascii="仿宋_GB2312" w:eastAsia="仿宋_GB2312" w:hAnsi="仿宋_GB2312" w:cs="仿宋_GB2312"/>
                <w:sz w:val="22"/>
                <w:szCs w:val="22"/>
              </w:rPr>
            </w:pP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rPr>
          <w:trHeight w:val="70"/>
        </w:trPr>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restart"/>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日常运营记录完备性</w:t>
            </w:r>
          </w:p>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（15分）</w:t>
            </w: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每条线路的客运量统计（2分）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未统计线路客运量，或客运量与实际调查过大扣2分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rPr>
          <w:trHeight w:val="70"/>
        </w:trPr>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每条线路的月总运营车次及运营里程（3分）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未统计</w:t>
            </w:r>
            <w:proofErr w:type="gramStart"/>
            <w:r>
              <w:rPr>
                <w:rFonts w:ascii="仿宋_GB2312" w:eastAsia="仿宋_GB2312" w:hAnsi="仿宋_GB2312" w:cs="仿宋_GB2312" w:hint="eastAsia"/>
                <w:sz w:val="22"/>
                <w:szCs w:val="22"/>
              </w:rPr>
              <w:t>线路月总</w:t>
            </w:r>
            <w:proofErr w:type="gramEnd"/>
            <w:r>
              <w:rPr>
                <w:rFonts w:ascii="仿宋_GB2312" w:eastAsia="仿宋_GB2312" w:hAnsi="仿宋_GB2312" w:cs="仿宋_GB2312" w:hint="eastAsia"/>
                <w:sz w:val="22"/>
                <w:szCs w:val="22"/>
              </w:rPr>
              <w:t>运营车次及运营里程扣3分，运营里程和车次数据不合理扣2分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rPr>
          <w:trHeight w:val="70"/>
        </w:trPr>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每条线路的月总燃料消耗量（5分）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无车辆燃料消耗量数据扣5分，数据不全或无法提供证明扣3分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rPr>
          <w:trHeight w:val="70"/>
        </w:trPr>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每条线路的车辆维修与保养统计（3分）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无车辆维修保养记录扣3分，记录不全或无法提供证明材料扣2分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rPr>
          <w:trHeight w:val="70"/>
        </w:trPr>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车辆违章、违法记录（2分）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无法提供车辆违章、违法记录扣2分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restart"/>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服务设施完备</w:t>
            </w:r>
          </w:p>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（20分）</w:t>
            </w: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车辆符合国家新车入户标准,达到城市环保要求。（2分）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运营车辆未达到城市环保要求，扣2分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车门开关灵活（1分），设有防止夹伤乘客的胶条或缓冲装置（1分）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车门开关失控的扣1分，未设置缓冲装置的扣1分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车窗玻璃无缺损，闭合严密，不漏水（1分）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车窗玻璃发现损坏的扣1分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地板、盖板、踏步、内侧维护板完好（1分），顶窗完好、不漏水（1分）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地板、盖板等各类盖板出现缺失和严重破损的扣1分；顶窗出现损坏或者漏水的扣1分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座椅齐全牢固（1分），扶手杆、立柱齐全牢固（1分）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座椅靠背不全、松动的扣1分，扶手立柱不全的扣1分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投币机（1分）、读卡机（1分）、报站器（1分）、监视器（1分）完好有效</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投币机、读卡机、报站器、监视器不能正常使用的每处扣1分，最高扣4分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线路走向图、乘坐规则、服务监督电话等信息完整、准确（1分）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线路走向图、乘坐规则、服务监督电话缺失或信息不完整的扣1分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安全锤、灭火器齐全有效（3分）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缺少安全锤、灭火器的扣3分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企业名称、车辆编号、线路编号及线路票价信息在规定位置（1分）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企业名称、车辆编号、线路编号缺少的扣1分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“老幼病残孕”专座有明确标识（1分）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缺少“老幼病残孕”专座标识的扣1分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禁烟、禁食、禁止携带易燃易爆物品上车标志齐全醒目（1分）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禁烟、禁食、禁止携带易燃易爆物品上车标志缺少的扣1分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restart"/>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运营服务合格</w:t>
            </w:r>
          </w:p>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（25分）</w:t>
            </w: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持证上岗，着装统一、仪表整洁（2分）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司乘人员未持证上岗、着装不规范的，每次扣1分，最高扣2分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文明用语，解答询问（2分）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用语不文明，对乘客询问不解答的，每次扣1分，最高扣2分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按照规定线路和站点运营，无擅自改道行驶、越站甩客（5分）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未按照规定线路和站点运营，出现擅自改道行驶、越站甩客的每处扣2分，最高扣5分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车辆进站停靠规范（4分）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未按照进站停靠，出现抢到、翘头并尾、双排并停的现象，每次扣1分，最高扣4分 </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出站关门起步（3分）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出现未关门起步的，每次扣1分，最高扣3分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驾驶员工作时无吸烟、打手机、聊天等现象（3分）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驾驶员工作时发生吸烟、打手机、聊天中一项的，每次扣1分，最高扣3分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车辆行驶无超速、违规超车、抢到行为（3分）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车辆行驶中出行超速、违规超车、抢到行为的，每次扣1分，最高扣3分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落实优惠政策（老年人、学生、军人、残疾人）（3分）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对老年人、学生、军人、残疾人优惠未按法律法规及政府有关规定执行的，每次扣1分，最高扣3分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restart"/>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车辆整洁合格</w:t>
            </w:r>
          </w:p>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（20分）</w:t>
            </w: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车身外表整洁完好，无损坏、无污迹、尘土（4</w:t>
            </w:r>
            <w:r>
              <w:rPr>
                <w:rFonts w:ascii="仿宋_GB2312" w:eastAsia="仿宋_GB2312" w:hAnsi="仿宋_GB2312" w:cs="仿宋_GB2312" w:hint="eastAsia"/>
                <w:sz w:val="22"/>
                <w:szCs w:val="22"/>
              </w:rPr>
              <w:lastRenderedPageBreak/>
              <w:t>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车身外表破损、有污渍的每处扣2分，最高扣4分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头灯、尾灯、方向灯齐全有效（4分）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头灯、尾灯、方向灯出现故障的扣4分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车厢内清洁，无尘土，无积水，无杂物（3分）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车厢内发现垃圾、尘土、积水等情况的每处扣1分，最高扣3分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座椅、扶手无尘土、无污水、无杂物（3分）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座椅、扶手现垃圾、尘土、积水等情况每处扣1分，最高扣3分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车窗清洁明亮，车厢内壁无污垢（3分）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车窗、车厢内壁有污垢的每处扣1分，最高扣3分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4545"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车内广告发布规范，广告设施牢固、画面整洁（3分）</w:t>
            </w:r>
          </w:p>
        </w:tc>
        <w:tc>
          <w:tcPr>
            <w:tcW w:w="5383"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广告画面松脱破损的扣3分</w:t>
            </w:r>
          </w:p>
        </w:tc>
        <w:tc>
          <w:tcPr>
            <w:tcW w:w="456" w:type="dxa"/>
            <w:vAlign w:val="center"/>
          </w:tcPr>
          <w:p w:rsidR="00722A22" w:rsidRDefault="00722A22">
            <w:pPr>
              <w:pStyle w:val="a8"/>
              <w:snapToGrid w:val="0"/>
              <w:jc w:val="both"/>
              <w:rPr>
                <w:rFonts w:ascii="仿宋_GB2312" w:eastAsia="仿宋_GB2312" w:hAnsi="仿宋_GB2312" w:cs="仿宋_GB2312"/>
                <w:sz w:val="22"/>
                <w:szCs w:val="22"/>
              </w:rPr>
            </w:pPr>
          </w:p>
        </w:tc>
      </w:tr>
      <w:tr w:rsidR="00722A22">
        <w:trPr>
          <w:trHeight w:val="951"/>
        </w:trPr>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公交企业驾驶员实际配置率</w:t>
            </w:r>
          </w:p>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（5分）</w:t>
            </w:r>
          </w:p>
        </w:tc>
        <w:tc>
          <w:tcPr>
            <w:tcW w:w="4545" w:type="dxa"/>
            <w:vAlign w:val="center"/>
          </w:tcPr>
          <w:p w:rsidR="00722A22" w:rsidRDefault="00FB6EE9">
            <w:pPr>
              <w:widowControl/>
              <w:adjustRightInd w:val="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公交企业驾驶员实际数量与公交企业提供的驾驶员统计表一致</w:t>
            </w:r>
          </w:p>
        </w:tc>
        <w:tc>
          <w:tcPr>
            <w:tcW w:w="5383" w:type="dxa"/>
            <w:vAlign w:val="center"/>
          </w:tcPr>
          <w:p w:rsidR="00722A22" w:rsidRDefault="00FB6EE9">
            <w:pPr>
              <w:widowControl/>
              <w:adjustRightInd w:val="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公交企业驾驶员实际数量与公交企业提供的驾驶员统计表不一致的，扣5分</w:t>
            </w:r>
          </w:p>
        </w:tc>
        <w:tc>
          <w:tcPr>
            <w:tcW w:w="456" w:type="dxa"/>
            <w:vAlign w:val="center"/>
          </w:tcPr>
          <w:p w:rsidR="00722A22" w:rsidRDefault="00722A22">
            <w:pPr>
              <w:widowControl/>
              <w:adjustRightInd w:val="0"/>
              <w:rPr>
                <w:rFonts w:ascii="仿宋_GB2312" w:eastAsia="仿宋_GB2312" w:hAnsi="仿宋_GB2312" w:cs="仿宋_GB2312"/>
                <w:color w:val="000000"/>
                <w:kern w:val="0"/>
                <w:sz w:val="22"/>
                <w:szCs w:val="22"/>
              </w:rPr>
            </w:pPr>
          </w:p>
        </w:tc>
      </w:tr>
      <w:tr w:rsidR="00722A22">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3154" w:type="dxa"/>
            <w:vAlign w:val="center"/>
          </w:tcPr>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公交企业驾驶员工资实发率</w:t>
            </w:r>
          </w:p>
          <w:p w:rsidR="00722A22" w:rsidRDefault="00FB6EE9">
            <w:pPr>
              <w:pStyle w:val="a8"/>
              <w:snapToGrid w:val="0"/>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（5分）</w:t>
            </w:r>
          </w:p>
        </w:tc>
        <w:tc>
          <w:tcPr>
            <w:tcW w:w="4545" w:type="dxa"/>
            <w:vAlign w:val="center"/>
          </w:tcPr>
          <w:p w:rsidR="00722A22" w:rsidRDefault="00FB6EE9">
            <w:pPr>
              <w:widowControl/>
              <w:adjustRightInd w:val="0"/>
              <w:rPr>
                <w:rFonts w:ascii="仿宋_GB2312" w:eastAsia="仿宋_GB2312" w:hAnsi="仿宋_GB2312" w:cs="仿宋_GB2312"/>
                <w:sz w:val="22"/>
                <w:szCs w:val="22"/>
              </w:rPr>
            </w:pPr>
            <w:r>
              <w:rPr>
                <w:rFonts w:ascii="仿宋_GB2312" w:eastAsia="仿宋_GB2312" w:hAnsi="仿宋_GB2312" w:cs="仿宋_GB2312" w:hint="eastAsia"/>
                <w:color w:val="000000"/>
                <w:kern w:val="0"/>
                <w:sz w:val="22"/>
                <w:szCs w:val="22"/>
              </w:rPr>
              <w:t>公交企业驾驶员的实际发放工资额与报备的公交企业驾驶员工资水平基本一致</w:t>
            </w:r>
          </w:p>
        </w:tc>
        <w:tc>
          <w:tcPr>
            <w:tcW w:w="5383" w:type="dxa"/>
            <w:vAlign w:val="center"/>
          </w:tcPr>
          <w:p w:rsidR="00722A22" w:rsidRDefault="00FB6EE9">
            <w:pPr>
              <w:widowControl/>
              <w:adjustRightInd w:val="0"/>
              <w:rPr>
                <w:rFonts w:ascii="仿宋_GB2312" w:eastAsia="仿宋_GB2312" w:hAnsi="仿宋_GB2312" w:cs="仿宋_GB2312"/>
                <w:sz w:val="22"/>
                <w:szCs w:val="22"/>
              </w:rPr>
            </w:pPr>
            <w:r>
              <w:rPr>
                <w:rFonts w:ascii="仿宋_GB2312" w:eastAsia="仿宋_GB2312" w:hAnsi="仿宋_GB2312" w:cs="仿宋_GB2312" w:hint="eastAsia"/>
                <w:color w:val="000000"/>
                <w:kern w:val="0"/>
                <w:sz w:val="22"/>
                <w:szCs w:val="22"/>
              </w:rPr>
              <w:t>公交企业驾驶员工资实际发放额明显低于报备的工资水平且无合理说明的扣5分，驾驶员工资发放不及时扣的2分</w:t>
            </w:r>
          </w:p>
        </w:tc>
        <w:tc>
          <w:tcPr>
            <w:tcW w:w="456" w:type="dxa"/>
            <w:vAlign w:val="center"/>
          </w:tcPr>
          <w:p w:rsidR="00722A22" w:rsidRDefault="00722A22">
            <w:pPr>
              <w:widowControl/>
              <w:adjustRightInd w:val="0"/>
              <w:rPr>
                <w:rFonts w:ascii="仿宋_GB2312" w:eastAsia="仿宋_GB2312" w:hAnsi="仿宋_GB2312" w:cs="仿宋_GB2312"/>
                <w:color w:val="000000"/>
                <w:kern w:val="0"/>
                <w:sz w:val="22"/>
                <w:szCs w:val="22"/>
              </w:rPr>
            </w:pPr>
          </w:p>
        </w:tc>
      </w:tr>
      <w:tr w:rsidR="00722A22">
        <w:trPr>
          <w:trHeight w:val="509"/>
        </w:trPr>
        <w:tc>
          <w:tcPr>
            <w:tcW w:w="796" w:type="dxa"/>
            <w:vMerge/>
            <w:vAlign w:val="center"/>
          </w:tcPr>
          <w:p w:rsidR="00722A22" w:rsidRDefault="00722A22">
            <w:pPr>
              <w:pStyle w:val="a8"/>
              <w:snapToGrid w:val="0"/>
              <w:jc w:val="both"/>
              <w:rPr>
                <w:rFonts w:ascii="仿宋_GB2312" w:eastAsia="仿宋_GB2312" w:hAnsi="仿宋_GB2312" w:cs="仿宋_GB2312"/>
                <w:sz w:val="22"/>
                <w:szCs w:val="22"/>
              </w:rPr>
            </w:pPr>
          </w:p>
        </w:tc>
        <w:tc>
          <w:tcPr>
            <w:tcW w:w="13082" w:type="dxa"/>
            <w:gridSpan w:val="3"/>
            <w:vAlign w:val="center"/>
          </w:tcPr>
          <w:p w:rsidR="00722A22" w:rsidRDefault="00FB6EE9">
            <w:pPr>
              <w:widowControl/>
              <w:adjustRightInd w:val="0"/>
              <w:rPr>
                <w:rFonts w:ascii="仿宋_GB2312" w:eastAsia="仿宋_GB2312" w:hAnsi="仿宋_GB2312" w:cs="仿宋_GB2312"/>
                <w:b/>
                <w:color w:val="000000"/>
                <w:kern w:val="0"/>
                <w:sz w:val="22"/>
                <w:szCs w:val="22"/>
              </w:rPr>
            </w:pPr>
            <w:r>
              <w:rPr>
                <w:rFonts w:ascii="仿宋_GB2312" w:eastAsia="仿宋_GB2312" w:hAnsi="仿宋_GB2312" w:cs="仿宋_GB2312" w:hint="eastAsia"/>
                <w:bCs/>
                <w:sz w:val="22"/>
                <w:szCs w:val="22"/>
              </w:rPr>
              <w:t>日常考核质量指标成绩</w:t>
            </w:r>
          </w:p>
        </w:tc>
        <w:tc>
          <w:tcPr>
            <w:tcW w:w="456" w:type="dxa"/>
            <w:vAlign w:val="center"/>
          </w:tcPr>
          <w:p w:rsidR="00722A22" w:rsidRDefault="00722A22">
            <w:pPr>
              <w:widowControl/>
              <w:adjustRightInd w:val="0"/>
              <w:rPr>
                <w:rFonts w:ascii="仿宋_GB2312" w:eastAsia="仿宋_GB2312" w:hAnsi="仿宋_GB2312" w:cs="仿宋_GB2312"/>
                <w:color w:val="000000"/>
                <w:kern w:val="0"/>
                <w:sz w:val="22"/>
                <w:szCs w:val="22"/>
              </w:rPr>
            </w:pPr>
          </w:p>
        </w:tc>
      </w:tr>
      <w:tr w:rsidR="00722A22">
        <w:tc>
          <w:tcPr>
            <w:tcW w:w="796" w:type="dxa"/>
            <w:vMerge w:val="restart"/>
            <w:vAlign w:val="center"/>
          </w:tcPr>
          <w:p w:rsidR="00722A22" w:rsidRDefault="00FB6EE9">
            <w:pPr>
              <w:pStyle w:val="a8"/>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日常考核数量指标（满分100分）</w:t>
            </w:r>
          </w:p>
        </w:tc>
        <w:tc>
          <w:tcPr>
            <w:tcW w:w="3154" w:type="dxa"/>
            <w:vAlign w:val="center"/>
          </w:tcPr>
          <w:p w:rsidR="00722A22" w:rsidRDefault="00FB6EE9">
            <w:pPr>
              <w:pStyle w:val="a8"/>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按照公布的发车班次和发车间隔时间运行（40分）</w:t>
            </w:r>
          </w:p>
        </w:tc>
        <w:tc>
          <w:tcPr>
            <w:tcW w:w="4545" w:type="dxa"/>
            <w:vAlign w:val="center"/>
          </w:tcPr>
          <w:p w:rsidR="00722A22" w:rsidRDefault="00FB6EE9">
            <w:pPr>
              <w:widowControl/>
              <w:adjustRightInd w:val="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日常考核准点率达到95%以上</w:t>
            </w:r>
          </w:p>
        </w:tc>
        <w:tc>
          <w:tcPr>
            <w:tcW w:w="5383" w:type="dxa"/>
            <w:vAlign w:val="center"/>
          </w:tcPr>
          <w:p w:rsidR="00722A22" w:rsidRDefault="00FB6EE9">
            <w:pPr>
              <w:widowControl/>
              <w:adjustRightInd w:val="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按照乘客投诉公交车晚点次数考核，一次有效投诉扣3分，扣完为止</w:t>
            </w:r>
          </w:p>
        </w:tc>
        <w:tc>
          <w:tcPr>
            <w:tcW w:w="456" w:type="dxa"/>
            <w:vAlign w:val="center"/>
          </w:tcPr>
          <w:p w:rsidR="00722A22" w:rsidRDefault="00722A22">
            <w:pPr>
              <w:widowControl/>
              <w:adjustRightInd w:val="0"/>
              <w:rPr>
                <w:rFonts w:ascii="仿宋_GB2312" w:eastAsia="仿宋_GB2312" w:hAnsi="仿宋_GB2312" w:cs="仿宋_GB2312"/>
                <w:color w:val="000000"/>
                <w:kern w:val="0"/>
                <w:sz w:val="22"/>
                <w:szCs w:val="22"/>
              </w:rPr>
            </w:pPr>
          </w:p>
        </w:tc>
      </w:tr>
      <w:tr w:rsidR="00722A22">
        <w:tc>
          <w:tcPr>
            <w:tcW w:w="796" w:type="dxa"/>
            <w:vMerge/>
            <w:vAlign w:val="center"/>
          </w:tcPr>
          <w:p w:rsidR="00722A22" w:rsidRDefault="00722A22">
            <w:pPr>
              <w:pStyle w:val="a8"/>
              <w:jc w:val="both"/>
              <w:rPr>
                <w:rFonts w:ascii="仿宋_GB2312" w:eastAsia="仿宋_GB2312" w:hAnsi="仿宋_GB2312" w:cs="仿宋_GB2312"/>
                <w:sz w:val="22"/>
                <w:szCs w:val="22"/>
              </w:rPr>
            </w:pPr>
          </w:p>
        </w:tc>
        <w:tc>
          <w:tcPr>
            <w:tcW w:w="3154" w:type="dxa"/>
            <w:vAlign w:val="center"/>
          </w:tcPr>
          <w:p w:rsidR="00722A22" w:rsidRDefault="00FB6EE9">
            <w:pPr>
              <w:pStyle w:val="a8"/>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日常考核高峰时段出车率</w:t>
            </w:r>
          </w:p>
          <w:p w:rsidR="00722A22" w:rsidRDefault="00FB6EE9">
            <w:pPr>
              <w:pStyle w:val="a8"/>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（30分）</w:t>
            </w:r>
          </w:p>
        </w:tc>
        <w:tc>
          <w:tcPr>
            <w:tcW w:w="4545" w:type="dxa"/>
            <w:vAlign w:val="center"/>
          </w:tcPr>
          <w:p w:rsidR="00722A22" w:rsidRDefault="00722A22">
            <w:pPr>
              <w:widowControl/>
              <w:adjustRightInd w:val="0"/>
              <w:rPr>
                <w:rFonts w:ascii="仿宋_GB2312" w:eastAsia="仿宋_GB2312" w:hAnsi="仿宋_GB2312" w:cs="仿宋_GB2312"/>
                <w:color w:val="000000"/>
                <w:kern w:val="0"/>
                <w:sz w:val="22"/>
                <w:szCs w:val="22"/>
              </w:rPr>
            </w:pPr>
          </w:p>
          <w:p w:rsidR="00722A22" w:rsidRDefault="00FB6EE9">
            <w:pPr>
              <w:widowControl/>
              <w:adjustRightInd w:val="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日常考核高峰时段出车率达到95%以上</w:t>
            </w:r>
          </w:p>
        </w:tc>
        <w:tc>
          <w:tcPr>
            <w:tcW w:w="5383" w:type="dxa"/>
            <w:vAlign w:val="center"/>
          </w:tcPr>
          <w:p w:rsidR="00722A22" w:rsidRDefault="00722A22">
            <w:pPr>
              <w:widowControl/>
              <w:adjustRightInd w:val="0"/>
              <w:rPr>
                <w:rFonts w:ascii="仿宋_GB2312" w:eastAsia="仿宋_GB2312" w:hAnsi="仿宋_GB2312" w:cs="仿宋_GB2312"/>
                <w:color w:val="000000"/>
                <w:kern w:val="0"/>
                <w:sz w:val="22"/>
                <w:szCs w:val="22"/>
              </w:rPr>
            </w:pPr>
          </w:p>
          <w:p w:rsidR="00722A22" w:rsidRDefault="00FB6EE9">
            <w:pPr>
              <w:widowControl/>
              <w:adjustRightInd w:val="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日常考核高峰时段出车率</w:t>
            </w:r>
            <w:r>
              <w:rPr>
                <w:rFonts w:ascii="仿宋_GB2312" w:eastAsia="仿宋_GB2312" w:hAnsi="仿宋_GB2312" w:cs="仿宋_GB2312" w:hint="eastAsia"/>
                <w:sz w:val="22"/>
                <w:szCs w:val="22"/>
              </w:rPr>
              <w:t>每低于95%一个百分点扣5分，扣完为止</w:t>
            </w:r>
          </w:p>
        </w:tc>
        <w:tc>
          <w:tcPr>
            <w:tcW w:w="456" w:type="dxa"/>
            <w:vAlign w:val="center"/>
          </w:tcPr>
          <w:p w:rsidR="00722A22" w:rsidRDefault="00722A22">
            <w:pPr>
              <w:widowControl/>
              <w:adjustRightInd w:val="0"/>
              <w:rPr>
                <w:rFonts w:ascii="仿宋_GB2312" w:eastAsia="仿宋_GB2312" w:hAnsi="仿宋_GB2312" w:cs="仿宋_GB2312"/>
                <w:color w:val="000000"/>
                <w:kern w:val="0"/>
                <w:sz w:val="22"/>
                <w:szCs w:val="22"/>
              </w:rPr>
            </w:pPr>
          </w:p>
        </w:tc>
      </w:tr>
      <w:tr w:rsidR="00722A22">
        <w:tc>
          <w:tcPr>
            <w:tcW w:w="796" w:type="dxa"/>
            <w:vMerge/>
            <w:vAlign w:val="center"/>
          </w:tcPr>
          <w:p w:rsidR="00722A22" w:rsidRDefault="00722A22">
            <w:pPr>
              <w:pStyle w:val="a8"/>
              <w:jc w:val="both"/>
              <w:rPr>
                <w:rFonts w:ascii="仿宋_GB2312" w:eastAsia="仿宋_GB2312" w:hAnsi="仿宋_GB2312" w:cs="仿宋_GB2312"/>
                <w:sz w:val="22"/>
                <w:szCs w:val="22"/>
              </w:rPr>
            </w:pPr>
          </w:p>
        </w:tc>
        <w:tc>
          <w:tcPr>
            <w:tcW w:w="3154" w:type="dxa"/>
            <w:vAlign w:val="center"/>
          </w:tcPr>
          <w:p w:rsidR="00722A22" w:rsidRDefault="00FB6EE9">
            <w:pPr>
              <w:pStyle w:val="a8"/>
              <w:jc w:val="both"/>
              <w:rPr>
                <w:rFonts w:ascii="仿宋_GB2312" w:eastAsia="仿宋_GB2312" w:hAnsi="仿宋_GB2312" w:cs="仿宋_GB2312"/>
                <w:sz w:val="22"/>
                <w:szCs w:val="22"/>
              </w:rPr>
            </w:pPr>
            <w:r>
              <w:rPr>
                <w:rFonts w:ascii="仿宋_GB2312" w:eastAsia="仿宋_GB2312" w:hAnsi="仿宋_GB2312" w:cs="仿宋_GB2312" w:hint="eastAsia"/>
                <w:sz w:val="22"/>
                <w:szCs w:val="22"/>
              </w:rPr>
              <w:t>日常考核高峰时段正点发车率（30分）</w:t>
            </w:r>
          </w:p>
        </w:tc>
        <w:tc>
          <w:tcPr>
            <w:tcW w:w="4545" w:type="dxa"/>
            <w:vAlign w:val="center"/>
          </w:tcPr>
          <w:p w:rsidR="00722A22" w:rsidRDefault="00722A22">
            <w:pPr>
              <w:widowControl/>
              <w:adjustRightInd w:val="0"/>
              <w:rPr>
                <w:rFonts w:ascii="仿宋_GB2312" w:eastAsia="仿宋_GB2312" w:hAnsi="仿宋_GB2312" w:cs="仿宋_GB2312"/>
                <w:color w:val="000000"/>
                <w:kern w:val="0"/>
                <w:sz w:val="22"/>
                <w:szCs w:val="22"/>
              </w:rPr>
            </w:pPr>
          </w:p>
          <w:p w:rsidR="00722A22" w:rsidRDefault="00FB6EE9">
            <w:pPr>
              <w:widowControl/>
              <w:adjustRightInd w:val="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日常考核高峰时段正点发车率达到95%以上</w:t>
            </w:r>
          </w:p>
        </w:tc>
        <w:tc>
          <w:tcPr>
            <w:tcW w:w="5383" w:type="dxa"/>
            <w:vAlign w:val="center"/>
          </w:tcPr>
          <w:p w:rsidR="00722A22" w:rsidRDefault="00722A22">
            <w:pPr>
              <w:widowControl/>
              <w:adjustRightInd w:val="0"/>
              <w:rPr>
                <w:rFonts w:ascii="仿宋_GB2312" w:eastAsia="仿宋_GB2312" w:hAnsi="仿宋_GB2312" w:cs="仿宋_GB2312"/>
                <w:color w:val="000000"/>
                <w:kern w:val="0"/>
                <w:sz w:val="22"/>
                <w:szCs w:val="22"/>
              </w:rPr>
            </w:pPr>
          </w:p>
          <w:p w:rsidR="00722A22" w:rsidRDefault="00FB6EE9">
            <w:pPr>
              <w:widowControl/>
              <w:adjustRightInd w:val="0"/>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日常考核高峰时段正点发车率</w:t>
            </w:r>
            <w:r>
              <w:rPr>
                <w:rFonts w:ascii="仿宋_GB2312" w:eastAsia="仿宋_GB2312" w:hAnsi="仿宋_GB2312" w:cs="仿宋_GB2312" w:hint="eastAsia"/>
                <w:sz w:val="22"/>
                <w:szCs w:val="22"/>
              </w:rPr>
              <w:t>每低于95%一个百分点扣5分，扣完为止</w:t>
            </w:r>
          </w:p>
        </w:tc>
        <w:tc>
          <w:tcPr>
            <w:tcW w:w="456" w:type="dxa"/>
            <w:vAlign w:val="center"/>
          </w:tcPr>
          <w:p w:rsidR="00722A22" w:rsidRDefault="00722A22">
            <w:pPr>
              <w:widowControl/>
              <w:adjustRightInd w:val="0"/>
              <w:rPr>
                <w:rFonts w:ascii="仿宋_GB2312" w:eastAsia="仿宋_GB2312" w:hAnsi="仿宋_GB2312" w:cs="仿宋_GB2312"/>
                <w:color w:val="000000"/>
                <w:kern w:val="0"/>
                <w:sz w:val="22"/>
                <w:szCs w:val="22"/>
              </w:rPr>
            </w:pPr>
          </w:p>
        </w:tc>
      </w:tr>
      <w:tr w:rsidR="00722A22">
        <w:trPr>
          <w:trHeight w:val="578"/>
        </w:trPr>
        <w:tc>
          <w:tcPr>
            <w:tcW w:w="796" w:type="dxa"/>
            <w:vMerge/>
            <w:vAlign w:val="center"/>
          </w:tcPr>
          <w:p w:rsidR="00722A22" w:rsidRDefault="00722A22">
            <w:pPr>
              <w:pStyle w:val="a8"/>
              <w:jc w:val="both"/>
              <w:rPr>
                <w:rFonts w:ascii="仿宋_GB2312" w:eastAsia="仿宋_GB2312" w:hAnsi="仿宋_GB2312" w:cs="仿宋_GB2312"/>
                <w:sz w:val="22"/>
                <w:szCs w:val="22"/>
              </w:rPr>
            </w:pPr>
          </w:p>
        </w:tc>
        <w:tc>
          <w:tcPr>
            <w:tcW w:w="13082" w:type="dxa"/>
            <w:gridSpan w:val="3"/>
            <w:vAlign w:val="center"/>
          </w:tcPr>
          <w:p w:rsidR="00722A22" w:rsidRDefault="00FB6EE9">
            <w:pPr>
              <w:widowControl/>
              <w:adjustRightInd w:val="0"/>
              <w:rPr>
                <w:rFonts w:ascii="仿宋_GB2312" w:eastAsia="仿宋_GB2312" w:hAnsi="仿宋_GB2312" w:cs="仿宋_GB2312"/>
                <w:b/>
                <w:color w:val="000000"/>
                <w:kern w:val="0"/>
                <w:sz w:val="22"/>
                <w:szCs w:val="22"/>
              </w:rPr>
            </w:pPr>
            <w:r>
              <w:rPr>
                <w:rFonts w:ascii="仿宋_GB2312" w:eastAsia="仿宋_GB2312" w:hAnsi="仿宋_GB2312" w:cs="仿宋_GB2312" w:hint="eastAsia"/>
                <w:bCs/>
                <w:sz w:val="22"/>
                <w:szCs w:val="22"/>
              </w:rPr>
              <w:t>日常考核数量指标成绩</w:t>
            </w:r>
          </w:p>
        </w:tc>
        <w:tc>
          <w:tcPr>
            <w:tcW w:w="456" w:type="dxa"/>
            <w:vAlign w:val="center"/>
          </w:tcPr>
          <w:p w:rsidR="00722A22" w:rsidRDefault="00722A22">
            <w:pPr>
              <w:widowControl/>
              <w:adjustRightInd w:val="0"/>
              <w:rPr>
                <w:rFonts w:ascii="仿宋_GB2312" w:eastAsia="仿宋_GB2312" w:hAnsi="仿宋_GB2312" w:cs="仿宋_GB2312"/>
                <w:color w:val="000000"/>
                <w:kern w:val="0"/>
                <w:sz w:val="22"/>
                <w:szCs w:val="22"/>
              </w:rPr>
            </w:pPr>
          </w:p>
        </w:tc>
      </w:tr>
    </w:tbl>
    <w:p w:rsidR="00722A22" w:rsidRDefault="00FB6EE9">
      <w:pPr>
        <w:spacing w:line="56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其中：</w:t>
      </w:r>
    </w:p>
    <w:p w:rsidR="00722A22" w:rsidRDefault="00FB6EE9">
      <w:pPr>
        <w:spacing w:line="560" w:lineRule="exact"/>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（1）日常考核高峰时段出车率</w:t>
      </w:r>
    </w:p>
    <w:p w:rsidR="00722A22" w:rsidRDefault="00FB6EE9">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是</w:t>
      </w:r>
      <w:proofErr w:type="gramStart"/>
      <w:r>
        <w:rPr>
          <w:rFonts w:ascii="仿宋_GB2312" w:eastAsia="仿宋_GB2312" w:hAnsi="仿宋_GB2312" w:cs="仿宋_GB2312" w:hint="eastAsia"/>
          <w:sz w:val="32"/>
          <w:szCs w:val="32"/>
        </w:rPr>
        <w:t>指考核</w:t>
      </w:r>
      <w:proofErr w:type="gramEnd"/>
      <w:r>
        <w:rPr>
          <w:rFonts w:ascii="仿宋_GB2312" w:eastAsia="仿宋_GB2312" w:hAnsi="仿宋_GB2312" w:cs="仿宋_GB2312" w:hint="eastAsia"/>
          <w:sz w:val="32"/>
          <w:szCs w:val="32"/>
        </w:rPr>
        <w:t>年度公交企业在高峰时段的实际出车情况。计算公式为：</w:t>
      </w:r>
    </w:p>
    <w:p w:rsidR="00722A22" w:rsidRDefault="00FB6EE9">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日常考核高峰时段出车率=（高峰时段抽查线路实际出车数/高峰时段抽查线路计划出车数）×100%</w:t>
      </w:r>
    </w:p>
    <w:p w:rsidR="00722A22" w:rsidRDefault="00FB6EE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（2）日常考核高峰时段发车正点率</w:t>
      </w:r>
    </w:p>
    <w:p w:rsidR="00722A22" w:rsidRDefault="00FB6EE9">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是</w:t>
      </w:r>
      <w:proofErr w:type="gramStart"/>
      <w:r>
        <w:rPr>
          <w:rFonts w:ascii="仿宋_GB2312" w:eastAsia="仿宋_GB2312" w:hAnsi="仿宋_GB2312" w:cs="仿宋_GB2312" w:hint="eastAsia"/>
          <w:sz w:val="32"/>
          <w:szCs w:val="32"/>
        </w:rPr>
        <w:t>指考核</w:t>
      </w:r>
      <w:proofErr w:type="gramEnd"/>
      <w:r>
        <w:rPr>
          <w:rFonts w:ascii="仿宋_GB2312" w:eastAsia="仿宋_GB2312" w:hAnsi="仿宋_GB2312" w:cs="仿宋_GB2312" w:hint="eastAsia"/>
          <w:sz w:val="32"/>
          <w:szCs w:val="32"/>
        </w:rPr>
        <w:t>年度公交企业按照计划在高峰时段的正点发车情况。计算公式为：</w:t>
      </w:r>
    </w:p>
    <w:p w:rsidR="00722A22" w:rsidRDefault="00FB6EE9">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日常考核高峰时段出车率=（高峰时段抽查线路实际发车正点车次/高峰时段抽查线路计划发车车次）×100%</w:t>
      </w:r>
    </w:p>
    <w:p w:rsidR="00722A22" w:rsidRDefault="00FB6EE9">
      <w:pPr>
        <w:pStyle w:val="4"/>
        <w:spacing w:before="0" w:after="0" w:line="560" w:lineRule="exact"/>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 xml:space="preserve">  </w:t>
      </w:r>
      <w:r>
        <w:rPr>
          <w:rFonts w:ascii="仿宋_GB2312" w:eastAsia="仿宋_GB2312" w:hAnsi="仿宋_GB2312" w:cs="仿宋_GB2312" w:hint="eastAsia"/>
          <w:bCs w:val="0"/>
          <w:sz w:val="32"/>
          <w:szCs w:val="32"/>
        </w:rPr>
        <w:t xml:space="preserve"> （3）日常考核质量指标成绩计算公式如下：</w:t>
      </w:r>
    </w:p>
    <w:p w:rsidR="00722A22" w:rsidRDefault="00FB6EE9">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日常考核质量指标成绩=∑（日常考核质量指标成绩）/调查车辆总数</w:t>
      </w:r>
    </w:p>
    <w:p w:rsidR="00722A22" w:rsidRDefault="00FB6EE9">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日常考核质量指标成绩统计表见下表：</w:t>
      </w:r>
    </w:p>
    <w:p w:rsidR="00722A22" w:rsidRDefault="00722A22">
      <w:pPr>
        <w:pStyle w:val="a7"/>
        <w:spacing w:line="360" w:lineRule="exact"/>
        <w:rPr>
          <w:rFonts w:ascii="Times New Roman" w:eastAsia="方正小标宋_GBK" w:hAnsi="Times New Roman" w:cs="Times New Roman"/>
        </w:rPr>
      </w:pPr>
    </w:p>
    <w:tbl>
      <w:tblPr>
        <w:tblStyle w:val="a6"/>
        <w:tblW w:w="13520" w:type="dxa"/>
        <w:tblInd w:w="334" w:type="dxa"/>
        <w:tblLayout w:type="fixed"/>
        <w:tblLook w:val="04A0"/>
      </w:tblPr>
      <w:tblGrid>
        <w:gridCol w:w="1993"/>
        <w:gridCol w:w="5205"/>
        <w:gridCol w:w="6322"/>
      </w:tblGrid>
      <w:tr w:rsidR="00722A22">
        <w:tc>
          <w:tcPr>
            <w:tcW w:w="1993"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车辆编号</w:t>
            </w:r>
          </w:p>
        </w:tc>
        <w:tc>
          <w:tcPr>
            <w:tcW w:w="5205"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日常考核质量指标成绩</w:t>
            </w:r>
          </w:p>
        </w:tc>
        <w:tc>
          <w:tcPr>
            <w:tcW w:w="6322"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被抽查车辆所在线路编号</w:t>
            </w:r>
          </w:p>
        </w:tc>
      </w:tr>
      <w:tr w:rsidR="00722A22">
        <w:tc>
          <w:tcPr>
            <w:tcW w:w="1993"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5205" w:type="dxa"/>
          </w:tcPr>
          <w:p w:rsidR="00722A22" w:rsidRDefault="00722A22">
            <w:pPr>
              <w:jc w:val="center"/>
              <w:rPr>
                <w:rFonts w:ascii="仿宋_GB2312" w:eastAsia="仿宋_GB2312" w:hAnsi="仿宋_GB2312" w:cs="仿宋_GB2312"/>
                <w:sz w:val="30"/>
                <w:szCs w:val="30"/>
              </w:rPr>
            </w:pPr>
          </w:p>
        </w:tc>
        <w:tc>
          <w:tcPr>
            <w:tcW w:w="6322" w:type="dxa"/>
          </w:tcPr>
          <w:p w:rsidR="00722A22" w:rsidRDefault="00722A22">
            <w:pPr>
              <w:jc w:val="center"/>
              <w:rPr>
                <w:rFonts w:ascii="仿宋_GB2312" w:eastAsia="仿宋_GB2312" w:hAnsi="仿宋_GB2312" w:cs="仿宋_GB2312"/>
                <w:sz w:val="30"/>
                <w:szCs w:val="30"/>
              </w:rPr>
            </w:pPr>
          </w:p>
        </w:tc>
      </w:tr>
      <w:tr w:rsidR="00722A22">
        <w:tc>
          <w:tcPr>
            <w:tcW w:w="1993"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5205" w:type="dxa"/>
          </w:tcPr>
          <w:p w:rsidR="00722A22" w:rsidRDefault="00722A22">
            <w:pPr>
              <w:jc w:val="center"/>
              <w:rPr>
                <w:rFonts w:ascii="仿宋_GB2312" w:eastAsia="仿宋_GB2312" w:hAnsi="仿宋_GB2312" w:cs="仿宋_GB2312"/>
                <w:sz w:val="30"/>
                <w:szCs w:val="30"/>
              </w:rPr>
            </w:pPr>
          </w:p>
        </w:tc>
        <w:tc>
          <w:tcPr>
            <w:tcW w:w="6322" w:type="dxa"/>
          </w:tcPr>
          <w:p w:rsidR="00722A22" w:rsidRDefault="00722A22">
            <w:pPr>
              <w:jc w:val="center"/>
              <w:rPr>
                <w:rFonts w:ascii="仿宋_GB2312" w:eastAsia="仿宋_GB2312" w:hAnsi="仿宋_GB2312" w:cs="仿宋_GB2312"/>
                <w:sz w:val="30"/>
                <w:szCs w:val="30"/>
              </w:rPr>
            </w:pPr>
          </w:p>
        </w:tc>
      </w:tr>
      <w:tr w:rsidR="00722A22">
        <w:tc>
          <w:tcPr>
            <w:tcW w:w="1993"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w:t>
            </w:r>
          </w:p>
        </w:tc>
        <w:tc>
          <w:tcPr>
            <w:tcW w:w="5205" w:type="dxa"/>
          </w:tcPr>
          <w:p w:rsidR="00722A22" w:rsidRDefault="00722A22">
            <w:pPr>
              <w:jc w:val="center"/>
              <w:rPr>
                <w:rFonts w:ascii="仿宋_GB2312" w:eastAsia="仿宋_GB2312" w:hAnsi="仿宋_GB2312" w:cs="仿宋_GB2312"/>
                <w:sz w:val="30"/>
                <w:szCs w:val="30"/>
              </w:rPr>
            </w:pPr>
          </w:p>
        </w:tc>
        <w:tc>
          <w:tcPr>
            <w:tcW w:w="6322" w:type="dxa"/>
          </w:tcPr>
          <w:p w:rsidR="00722A22" w:rsidRDefault="00722A22">
            <w:pPr>
              <w:jc w:val="center"/>
              <w:rPr>
                <w:rFonts w:ascii="仿宋_GB2312" w:eastAsia="仿宋_GB2312" w:hAnsi="仿宋_GB2312" w:cs="仿宋_GB2312"/>
                <w:sz w:val="30"/>
                <w:szCs w:val="30"/>
              </w:rPr>
            </w:pPr>
          </w:p>
        </w:tc>
      </w:tr>
      <w:tr w:rsidR="00722A22">
        <w:tc>
          <w:tcPr>
            <w:tcW w:w="1993"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p>
        </w:tc>
        <w:tc>
          <w:tcPr>
            <w:tcW w:w="5205" w:type="dxa"/>
          </w:tcPr>
          <w:p w:rsidR="00722A22" w:rsidRDefault="00722A22">
            <w:pPr>
              <w:jc w:val="center"/>
              <w:rPr>
                <w:rFonts w:ascii="仿宋_GB2312" w:eastAsia="仿宋_GB2312" w:hAnsi="仿宋_GB2312" w:cs="仿宋_GB2312"/>
                <w:sz w:val="30"/>
                <w:szCs w:val="30"/>
              </w:rPr>
            </w:pPr>
          </w:p>
        </w:tc>
        <w:tc>
          <w:tcPr>
            <w:tcW w:w="6322" w:type="dxa"/>
          </w:tcPr>
          <w:p w:rsidR="00722A22" w:rsidRDefault="00722A22">
            <w:pPr>
              <w:jc w:val="center"/>
              <w:rPr>
                <w:rFonts w:ascii="仿宋_GB2312" w:eastAsia="仿宋_GB2312" w:hAnsi="仿宋_GB2312" w:cs="仿宋_GB2312"/>
                <w:sz w:val="30"/>
                <w:szCs w:val="30"/>
              </w:rPr>
            </w:pPr>
          </w:p>
        </w:tc>
      </w:tr>
      <w:tr w:rsidR="00722A22">
        <w:tc>
          <w:tcPr>
            <w:tcW w:w="1993"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5205" w:type="dxa"/>
          </w:tcPr>
          <w:p w:rsidR="00722A22" w:rsidRDefault="00722A22">
            <w:pPr>
              <w:jc w:val="center"/>
              <w:rPr>
                <w:rFonts w:ascii="仿宋_GB2312" w:eastAsia="仿宋_GB2312" w:hAnsi="仿宋_GB2312" w:cs="仿宋_GB2312"/>
                <w:sz w:val="30"/>
                <w:szCs w:val="30"/>
              </w:rPr>
            </w:pPr>
          </w:p>
        </w:tc>
        <w:tc>
          <w:tcPr>
            <w:tcW w:w="6322" w:type="dxa"/>
          </w:tcPr>
          <w:p w:rsidR="00722A22" w:rsidRDefault="00722A22">
            <w:pPr>
              <w:jc w:val="center"/>
              <w:rPr>
                <w:rFonts w:ascii="仿宋_GB2312" w:eastAsia="仿宋_GB2312" w:hAnsi="仿宋_GB2312" w:cs="仿宋_GB2312"/>
                <w:sz w:val="30"/>
                <w:szCs w:val="30"/>
              </w:rPr>
            </w:pPr>
          </w:p>
        </w:tc>
      </w:tr>
    </w:tbl>
    <w:p w:rsidR="00722A22" w:rsidRDefault="00FB6EE9">
      <w:pPr>
        <w:pStyle w:val="4"/>
        <w:spacing w:before="0" w:after="0" w:line="560" w:lineRule="exact"/>
        <w:ind w:firstLineChars="100" w:firstLine="320"/>
        <w:rPr>
          <w:rFonts w:ascii="仿宋_GB2312" w:eastAsia="仿宋_GB2312" w:hAnsi="仿宋_GB2312" w:cs="仿宋_GB2312"/>
          <w:bCs w:val="0"/>
          <w:sz w:val="32"/>
          <w:szCs w:val="32"/>
        </w:rPr>
      </w:pPr>
      <w:r>
        <w:rPr>
          <w:rFonts w:ascii="Times New Roman" w:eastAsia="仿宋_GB2312" w:hAnsi="Times New Roman" w:cs="Times New Roman"/>
          <w:b w:val="0"/>
          <w:sz w:val="32"/>
          <w:szCs w:val="32"/>
        </w:rPr>
        <w:t xml:space="preserve">  </w:t>
      </w:r>
      <w:r>
        <w:rPr>
          <w:rFonts w:ascii="仿宋_GB2312" w:eastAsia="仿宋_GB2312" w:hAnsi="仿宋_GB2312" w:cs="仿宋_GB2312" w:hint="eastAsia"/>
          <w:bCs w:val="0"/>
          <w:sz w:val="32"/>
          <w:szCs w:val="32"/>
        </w:rPr>
        <w:t>（4）日常考核数量指标成绩计算公式如下：</w:t>
      </w:r>
    </w:p>
    <w:p w:rsidR="00722A22" w:rsidRDefault="00FB6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日常考核数量指标成绩=∑（日常考核数量指标成绩）/调查线路总数</w:t>
      </w:r>
    </w:p>
    <w:p w:rsidR="00722A22" w:rsidRDefault="00FB6EE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日常考核数量指标成绩统计表见下表：</w:t>
      </w:r>
    </w:p>
    <w:tbl>
      <w:tblPr>
        <w:tblStyle w:val="a6"/>
        <w:tblW w:w="13493" w:type="dxa"/>
        <w:tblInd w:w="347" w:type="dxa"/>
        <w:tblLayout w:type="fixed"/>
        <w:tblLook w:val="04A0"/>
      </w:tblPr>
      <w:tblGrid>
        <w:gridCol w:w="4135"/>
        <w:gridCol w:w="9358"/>
      </w:tblGrid>
      <w:tr w:rsidR="00722A22">
        <w:tc>
          <w:tcPr>
            <w:tcW w:w="4135"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公交线路编号</w:t>
            </w:r>
          </w:p>
        </w:tc>
        <w:tc>
          <w:tcPr>
            <w:tcW w:w="9358"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日常考核数量指标成绩</w:t>
            </w:r>
          </w:p>
        </w:tc>
      </w:tr>
      <w:tr w:rsidR="00722A22">
        <w:tc>
          <w:tcPr>
            <w:tcW w:w="4135"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9358" w:type="dxa"/>
          </w:tcPr>
          <w:p w:rsidR="00722A22" w:rsidRDefault="00722A22">
            <w:pPr>
              <w:jc w:val="center"/>
              <w:rPr>
                <w:rFonts w:ascii="仿宋_GB2312" w:eastAsia="仿宋_GB2312" w:hAnsi="仿宋_GB2312" w:cs="仿宋_GB2312"/>
                <w:sz w:val="30"/>
                <w:szCs w:val="30"/>
              </w:rPr>
            </w:pPr>
          </w:p>
        </w:tc>
      </w:tr>
      <w:tr w:rsidR="00722A22">
        <w:tc>
          <w:tcPr>
            <w:tcW w:w="4135"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9358" w:type="dxa"/>
          </w:tcPr>
          <w:p w:rsidR="00722A22" w:rsidRDefault="00722A22">
            <w:pPr>
              <w:jc w:val="center"/>
              <w:rPr>
                <w:rFonts w:ascii="仿宋_GB2312" w:eastAsia="仿宋_GB2312" w:hAnsi="仿宋_GB2312" w:cs="仿宋_GB2312"/>
                <w:sz w:val="30"/>
                <w:szCs w:val="30"/>
              </w:rPr>
            </w:pPr>
          </w:p>
        </w:tc>
      </w:tr>
      <w:tr w:rsidR="00722A22">
        <w:tc>
          <w:tcPr>
            <w:tcW w:w="4135"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9358" w:type="dxa"/>
          </w:tcPr>
          <w:p w:rsidR="00722A22" w:rsidRDefault="00722A22">
            <w:pPr>
              <w:jc w:val="center"/>
              <w:rPr>
                <w:rFonts w:ascii="仿宋_GB2312" w:eastAsia="仿宋_GB2312" w:hAnsi="仿宋_GB2312" w:cs="仿宋_GB2312"/>
                <w:sz w:val="30"/>
                <w:szCs w:val="30"/>
              </w:rPr>
            </w:pPr>
          </w:p>
        </w:tc>
      </w:tr>
      <w:tr w:rsidR="00722A22">
        <w:tc>
          <w:tcPr>
            <w:tcW w:w="4135"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p>
        </w:tc>
        <w:tc>
          <w:tcPr>
            <w:tcW w:w="9358" w:type="dxa"/>
          </w:tcPr>
          <w:p w:rsidR="00722A22" w:rsidRDefault="00722A22">
            <w:pPr>
              <w:jc w:val="center"/>
              <w:rPr>
                <w:rFonts w:ascii="仿宋_GB2312" w:eastAsia="仿宋_GB2312" w:hAnsi="仿宋_GB2312" w:cs="仿宋_GB2312"/>
                <w:sz w:val="30"/>
                <w:szCs w:val="30"/>
              </w:rPr>
            </w:pPr>
          </w:p>
        </w:tc>
      </w:tr>
      <w:tr w:rsidR="00722A22">
        <w:tc>
          <w:tcPr>
            <w:tcW w:w="4135"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9358" w:type="dxa"/>
          </w:tcPr>
          <w:p w:rsidR="00722A22" w:rsidRDefault="00722A22">
            <w:pPr>
              <w:jc w:val="center"/>
              <w:rPr>
                <w:rFonts w:ascii="仿宋_GB2312" w:eastAsia="仿宋_GB2312" w:hAnsi="仿宋_GB2312" w:cs="仿宋_GB2312"/>
                <w:sz w:val="30"/>
                <w:szCs w:val="30"/>
              </w:rPr>
            </w:pPr>
          </w:p>
        </w:tc>
      </w:tr>
    </w:tbl>
    <w:p w:rsidR="00722A22" w:rsidRDefault="00722A22">
      <w:pPr>
        <w:pStyle w:val="a7"/>
        <w:spacing w:line="360" w:lineRule="exact"/>
        <w:jc w:val="both"/>
        <w:rPr>
          <w:rFonts w:ascii="Times New Roman" w:hAnsi="Times New Roman" w:cs="Times New Roman"/>
        </w:rPr>
      </w:pPr>
    </w:p>
    <w:p w:rsidR="00722A22" w:rsidRDefault="00FB6EE9">
      <w:pPr>
        <w:pStyle w:val="4"/>
        <w:spacing w:before="0" w:after="0" w:line="560" w:lineRule="exact"/>
        <w:rPr>
          <w:rFonts w:ascii="仿宋_GB2312" w:eastAsia="仿宋_GB2312" w:hAnsi="仿宋_GB2312" w:cs="仿宋_GB2312"/>
          <w:b w:val="0"/>
          <w:sz w:val="32"/>
          <w:szCs w:val="32"/>
        </w:rPr>
      </w:pPr>
      <w:r>
        <w:rPr>
          <w:rFonts w:ascii="Times New Roman" w:eastAsia="仿宋_GB2312" w:hAnsi="Times New Roman" w:cs="Times New Roman"/>
          <w:b w:val="0"/>
          <w:sz w:val="32"/>
          <w:szCs w:val="32"/>
        </w:rPr>
        <w:lastRenderedPageBreak/>
        <w:t xml:space="preserve">   </w:t>
      </w:r>
      <w:r>
        <w:rPr>
          <w:rFonts w:ascii="仿宋_GB2312" w:eastAsia="仿宋_GB2312" w:hAnsi="仿宋_GB2312" w:cs="仿宋_GB2312" w:hint="eastAsia"/>
          <w:bCs w:val="0"/>
          <w:sz w:val="32"/>
          <w:szCs w:val="32"/>
        </w:rPr>
        <w:t>（5）日常考核平均成绩计算公式如下：</w:t>
      </w:r>
    </w:p>
    <w:p w:rsidR="00722A22" w:rsidRDefault="00FB6EE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日常考核数量指标成绩=∑（日常考核数量指标成绩）/6</w:t>
      </w:r>
    </w:p>
    <w:p w:rsidR="00722A22" w:rsidRDefault="00FB6EE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日常考核质量指标成绩=∑（日常考核质量指标成绩）/6</w:t>
      </w:r>
    </w:p>
    <w:p w:rsidR="00722A22" w:rsidRDefault="00FB6EE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日常考核平均成绩计算表见下表：</w:t>
      </w:r>
    </w:p>
    <w:p w:rsidR="00722A22" w:rsidRDefault="00722A22">
      <w:pPr>
        <w:spacing w:line="560" w:lineRule="exact"/>
        <w:ind w:firstLine="640"/>
        <w:rPr>
          <w:rFonts w:ascii="仿宋_GB2312" w:eastAsia="仿宋_GB2312" w:hAnsi="仿宋_GB2312" w:cs="仿宋_GB2312"/>
          <w:sz w:val="32"/>
          <w:szCs w:val="32"/>
        </w:rPr>
      </w:pPr>
    </w:p>
    <w:tbl>
      <w:tblPr>
        <w:tblStyle w:val="a6"/>
        <w:tblW w:w="13574" w:type="dxa"/>
        <w:tblInd w:w="280" w:type="dxa"/>
        <w:tblLayout w:type="fixed"/>
        <w:tblLook w:val="04A0"/>
      </w:tblPr>
      <w:tblGrid>
        <w:gridCol w:w="2790"/>
        <w:gridCol w:w="4164"/>
        <w:gridCol w:w="6620"/>
      </w:tblGrid>
      <w:tr w:rsidR="00722A22">
        <w:tc>
          <w:tcPr>
            <w:tcW w:w="279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日常考核</w:t>
            </w:r>
          </w:p>
        </w:tc>
        <w:tc>
          <w:tcPr>
            <w:tcW w:w="4164"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日常考核量指标成绩</w:t>
            </w:r>
          </w:p>
        </w:tc>
        <w:tc>
          <w:tcPr>
            <w:tcW w:w="662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日常考核数量指标成绩</w:t>
            </w:r>
          </w:p>
        </w:tc>
      </w:tr>
      <w:tr w:rsidR="00722A22">
        <w:tc>
          <w:tcPr>
            <w:tcW w:w="279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第1次  日常考核</w:t>
            </w:r>
          </w:p>
        </w:tc>
        <w:tc>
          <w:tcPr>
            <w:tcW w:w="4164" w:type="dxa"/>
          </w:tcPr>
          <w:p w:rsidR="00722A22" w:rsidRDefault="00722A22">
            <w:pPr>
              <w:jc w:val="center"/>
              <w:rPr>
                <w:rFonts w:ascii="仿宋_GB2312" w:eastAsia="仿宋_GB2312" w:hAnsi="仿宋_GB2312" w:cs="仿宋_GB2312"/>
                <w:sz w:val="30"/>
                <w:szCs w:val="30"/>
              </w:rPr>
            </w:pPr>
          </w:p>
        </w:tc>
        <w:tc>
          <w:tcPr>
            <w:tcW w:w="6620" w:type="dxa"/>
          </w:tcPr>
          <w:p w:rsidR="00722A22" w:rsidRDefault="00722A22">
            <w:pPr>
              <w:jc w:val="center"/>
              <w:rPr>
                <w:rFonts w:ascii="仿宋_GB2312" w:eastAsia="仿宋_GB2312" w:hAnsi="仿宋_GB2312" w:cs="仿宋_GB2312"/>
                <w:sz w:val="30"/>
                <w:szCs w:val="30"/>
              </w:rPr>
            </w:pPr>
          </w:p>
        </w:tc>
      </w:tr>
      <w:tr w:rsidR="00722A22">
        <w:tc>
          <w:tcPr>
            <w:tcW w:w="279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第2次  日常考核</w:t>
            </w:r>
          </w:p>
        </w:tc>
        <w:tc>
          <w:tcPr>
            <w:tcW w:w="4164" w:type="dxa"/>
          </w:tcPr>
          <w:p w:rsidR="00722A22" w:rsidRDefault="00722A22">
            <w:pPr>
              <w:jc w:val="center"/>
              <w:rPr>
                <w:rFonts w:ascii="仿宋_GB2312" w:eastAsia="仿宋_GB2312" w:hAnsi="仿宋_GB2312" w:cs="仿宋_GB2312"/>
                <w:sz w:val="30"/>
                <w:szCs w:val="30"/>
              </w:rPr>
            </w:pPr>
          </w:p>
        </w:tc>
        <w:tc>
          <w:tcPr>
            <w:tcW w:w="6620" w:type="dxa"/>
          </w:tcPr>
          <w:p w:rsidR="00722A22" w:rsidRDefault="00722A22">
            <w:pPr>
              <w:jc w:val="center"/>
              <w:rPr>
                <w:rFonts w:ascii="仿宋_GB2312" w:eastAsia="仿宋_GB2312" w:hAnsi="仿宋_GB2312" w:cs="仿宋_GB2312"/>
                <w:sz w:val="30"/>
                <w:szCs w:val="30"/>
              </w:rPr>
            </w:pPr>
          </w:p>
        </w:tc>
      </w:tr>
      <w:tr w:rsidR="00722A22">
        <w:tc>
          <w:tcPr>
            <w:tcW w:w="279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第3次  日常考核</w:t>
            </w:r>
          </w:p>
        </w:tc>
        <w:tc>
          <w:tcPr>
            <w:tcW w:w="4164" w:type="dxa"/>
          </w:tcPr>
          <w:p w:rsidR="00722A22" w:rsidRDefault="00722A22">
            <w:pPr>
              <w:jc w:val="center"/>
              <w:rPr>
                <w:rFonts w:ascii="仿宋_GB2312" w:eastAsia="仿宋_GB2312" w:hAnsi="仿宋_GB2312" w:cs="仿宋_GB2312"/>
                <w:sz w:val="30"/>
                <w:szCs w:val="30"/>
              </w:rPr>
            </w:pPr>
          </w:p>
        </w:tc>
        <w:tc>
          <w:tcPr>
            <w:tcW w:w="6620" w:type="dxa"/>
          </w:tcPr>
          <w:p w:rsidR="00722A22" w:rsidRDefault="00722A22">
            <w:pPr>
              <w:jc w:val="center"/>
              <w:rPr>
                <w:rFonts w:ascii="仿宋_GB2312" w:eastAsia="仿宋_GB2312" w:hAnsi="仿宋_GB2312" w:cs="仿宋_GB2312"/>
                <w:sz w:val="30"/>
                <w:szCs w:val="30"/>
              </w:rPr>
            </w:pPr>
          </w:p>
        </w:tc>
      </w:tr>
      <w:tr w:rsidR="00722A22">
        <w:tc>
          <w:tcPr>
            <w:tcW w:w="279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第4次  日常考核</w:t>
            </w:r>
          </w:p>
        </w:tc>
        <w:tc>
          <w:tcPr>
            <w:tcW w:w="4164" w:type="dxa"/>
          </w:tcPr>
          <w:p w:rsidR="00722A22" w:rsidRDefault="00722A22">
            <w:pPr>
              <w:jc w:val="center"/>
              <w:rPr>
                <w:rFonts w:ascii="仿宋_GB2312" w:eastAsia="仿宋_GB2312" w:hAnsi="仿宋_GB2312" w:cs="仿宋_GB2312"/>
                <w:sz w:val="30"/>
                <w:szCs w:val="30"/>
              </w:rPr>
            </w:pPr>
          </w:p>
        </w:tc>
        <w:tc>
          <w:tcPr>
            <w:tcW w:w="6620" w:type="dxa"/>
          </w:tcPr>
          <w:p w:rsidR="00722A22" w:rsidRDefault="00722A22">
            <w:pPr>
              <w:jc w:val="center"/>
              <w:rPr>
                <w:rFonts w:ascii="仿宋_GB2312" w:eastAsia="仿宋_GB2312" w:hAnsi="仿宋_GB2312" w:cs="仿宋_GB2312"/>
                <w:sz w:val="30"/>
                <w:szCs w:val="30"/>
              </w:rPr>
            </w:pPr>
          </w:p>
        </w:tc>
      </w:tr>
      <w:tr w:rsidR="00722A22">
        <w:tc>
          <w:tcPr>
            <w:tcW w:w="279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第5次  日常考核</w:t>
            </w:r>
          </w:p>
        </w:tc>
        <w:tc>
          <w:tcPr>
            <w:tcW w:w="4164" w:type="dxa"/>
          </w:tcPr>
          <w:p w:rsidR="00722A22" w:rsidRDefault="00722A22">
            <w:pPr>
              <w:jc w:val="center"/>
              <w:rPr>
                <w:rFonts w:ascii="仿宋_GB2312" w:eastAsia="仿宋_GB2312" w:hAnsi="仿宋_GB2312" w:cs="仿宋_GB2312"/>
                <w:sz w:val="30"/>
                <w:szCs w:val="30"/>
              </w:rPr>
            </w:pPr>
          </w:p>
        </w:tc>
        <w:tc>
          <w:tcPr>
            <w:tcW w:w="6620" w:type="dxa"/>
          </w:tcPr>
          <w:p w:rsidR="00722A22" w:rsidRDefault="00722A22">
            <w:pPr>
              <w:jc w:val="center"/>
              <w:rPr>
                <w:rFonts w:ascii="仿宋_GB2312" w:eastAsia="仿宋_GB2312" w:hAnsi="仿宋_GB2312" w:cs="仿宋_GB2312"/>
                <w:sz w:val="30"/>
                <w:szCs w:val="30"/>
              </w:rPr>
            </w:pPr>
          </w:p>
        </w:tc>
      </w:tr>
      <w:tr w:rsidR="00722A22">
        <w:tc>
          <w:tcPr>
            <w:tcW w:w="279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第6次  日常考核</w:t>
            </w:r>
          </w:p>
        </w:tc>
        <w:tc>
          <w:tcPr>
            <w:tcW w:w="4164" w:type="dxa"/>
          </w:tcPr>
          <w:p w:rsidR="00722A22" w:rsidRDefault="00722A22">
            <w:pPr>
              <w:jc w:val="center"/>
              <w:rPr>
                <w:rFonts w:ascii="仿宋_GB2312" w:eastAsia="仿宋_GB2312" w:hAnsi="仿宋_GB2312" w:cs="仿宋_GB2312"/>
                <w:sz w:val="30"/>
                <w:szCs w:val="30"/>
              </w:rPr>
            </w:pPr>
          </w:p>
        </w:tc>
        <w:tc>
          <w:tcPr>
            <w:tcW w:w="6620" w:type="dxa"/>
          </w:tcPr>
          <w:p w:rsidR="00722A22" w:rsidRDefault="00722A22">
            <w:pPr>
              <w:jc w:val="center"/>
              <w:rPr>
                <w:rFonts w:ascii="仿宋_GB2312" w:eastAsia="仿宋_GB2312" w:hAnsi="仿宋_GB2312" w:cs="仿宋_GB2312"/>
                <w:sz w:val="30"/>
                <w:szCs w:val="30"/>
              </w:rPr>
            </w:pPr>
          </w:p>
        </w:tc>
      </w:tr>
      <w:tr w:rsidR="00722A22">
        <w:tc>
          <w:tcPr>
            <w:tcW w:w="2790" w:type="dxa"/>
          </w:tcPr>
          <w:p w:rsidR="00722A22" w:rsidRDefault="00FB6EE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平均成绩</w:t>
            </w:r>
          </w:p>
        </w:tc>
        <w:tc>
          <w:tcPr>
            <w:tcW w:w="4164" w:type="dxa"/>
          </w:tcPr>
          <w:p w:rsidR="00722A22" w:rsidRDefault="00722A22">
            <w:pPr>
              <w:jc w:val="center"/>
              <w:rPr>
                <w:rFonts w:ascii="仿宋_GB2312" w:eastAsia="仿宋_GB2312" w:hAnsi="仿宋_GB2312" w:cs="仿宋_GB2312"/>
                <w:sz w:val="30"/>
                <w:szCs w:val="30"/>
              </w:rPr>
            </w:pPr>
          </w:p>
        </w:tc>
        <w:tc>
          <w:tcPr>
            <w:tcW w:w="6620" w:type="dxa"/>
          </w:tcPr>
          <w:p w:rsidR="00722A22" w:rsidRDefault="00722A22">
            <w:pPr>
              <w:jc w:val="center"/>
              <w:rPr>
                <w:rFonts w:ascii="仿宋_GB2312" w:eastAsia="仿宋_GB2312" w:hAnsi="仿宋_GB2312" w:cs="仿宋_GB2312"/>
                <w:sz w:val="30"/>
                <w:szCs w:val="30"/>
              </w:rPr>
            </w:pPr>
          </w:p>
        </w:tc>
      </w:tr>
    </w:tbl>
    <w:p w:rsidR="00722A22" w:rsidRDefault="00722A22"/>
    <w:p w:rsidR="00722A22" w:rsidRDefault="00722A22"/>
    <w:p w:rsidR="00722A22" w:rsidRDefault="00722A22"/>
    <w:sectPr w:rsidR="00722A22" w:rsidSect="0052658D">
      <w:footerReference w:type="default" r:id="rId7"/>
      <w:pgSz w:w="16838" w:h="11906" w:orient="landscape"/>
      <w:pgMar w:top="1474" w:right="1701" w:bottom="1587" w:left="198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83C" w:rsidRDefault="0037683C" w:rsidP="00722A22">
      <w:r>
        <w:separator/>
      </w:r>
    </w:p>
  </w:endnote>
  <w:endnote w:type="continuationSeparator" w:id="0">
    <w:p w:rsidR="0037683C" w:rsidRDefault="0037683C" w:rsidP="00722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722251"/>
    </w:sdtPr>
    <w:sdtContent>
      <w:p w:rsidR="00722A22" w:rsidRDefault="00FE317F">
        <w:pPr>
          <w:pStyle w:val="a3"/>
          <w:jc w:val="center"/>
        </w:pPr>
        <w:r>
          <w:fldChar w:fldCharType="begin"/>
        </w:r>
        <w:r w:rsidR="00FB6EE9">
          <w:instrText>PAGE   \* MERGEFORMAT</w:instrText>
        </w:r>
        <w:r>
          <w:fldChar w:fldCharType="separate"/>
        </w:r>
        <w:r w:rsidR="0052658D" w:rsidRPr="0052658D">
          <w:rPr>
            <w:noProof/>
            <w:lang w:val="zh-CN"/>
          </w:rPr>
          <w:t>5</w:t>
        </w:r>
        <w:r>
          <w:fldChar w:fldCharType="end"/>
        </w:r>
      </w:p>
    </w:sdtContent>
  </w:sdt>
  <w:p w:rsidR="00722A22" w:rsidRDefault="00722A22">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83C" w:rsidRDefault="0037683C" w:rsidP="00722A22">
      <w:r>
        <w:separator/>
      </w:r>
    </w:p>
  </w:footnote>
  <w:footnote w:type="continuationSeparator" w:id="0">
    <w:p w:rsidR="0037683C" w:rsidRDefault="0037683C" w:rsidP="00722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2A22"/>
    <w:rsid w:val="0037683C"/>
    <w:rsid w:val="0052658D"/>
    <w:rsid w:val="00722A22"/>
    <w:rsid w:val="00F6262F"/>
    <w:rsid w:val="00FB6EE9"/>
    <w:rsid w:val="00FE317F"/>
    <w:rsid w:val="127265AC"/>
    <w:rsid w:val="32220F06"/>
    <w:rsid w:val="46DF648C"/>
    <w:rsid w:val="5AB36DE2"/>
    <w:rsid w:val="6002714A"/>
    <w:rsid w:val="74D91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A2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22A22"/>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rsid w:val="00722A22"/>
    <w:pPr>
      <w:keepNext/>
      <w:keepLines/>
      <w:spacing w:before="260" w:after="260" w:line="416" w:lineRule="auto"/>
      <w:outlineLvl w:val="2"/>
    </w:pPr>
    <w:rPr>
      <w:b/>
      <w:bCs/>
      <w:szCs w:val="32"/>
    </w:rPr>
  </w:style>
  <w:style w:type="paragraph" w:styleId="4">
    <w:name w:val="heading 4"/>
    <w:basedOn w:val="a"/>
    <w:next w:val="a"/>
    <w:unhideWhenUsed/>
    <w:qFormat/>
    <w:rsid w:val="00722A22"/>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qFormat/>
    <w:rsid w:val="00722A22"/>
    <w:pPr>
      <w:tabs>
        <w:tab w:val="center" w:pos="4153"/>
        <w:tab w:val="right" w:pos="8306"/>
      </w:tabs>
      <w:snapToGrid w:val="0"/>
      <w:jc w:val="left"/>
    </w:pPr>
    <w:rPr>
      <w:sz w:val="18"/>
      <w:szCs w:val="18"/>
    </w:rPr>
  </w:style>
  <w:style w:type="paragraph" w:styleId="a4">
    <w:name w:val="header"/>
    <w:basedOn w:val="a"/>
    <w:qFormat/>
    <w:rsid w:val="00722A2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22A22"/>
    <w:pPr>
      <w:spacing w:beforeAutospacing="1" w:afterAutospacing="1"/>
      <w:jc w:val="left"/>
    </w:pPr>
    <w:rPr>
      <w:rFonts w:cs="Times New Roman"/>
      <w:kern w:val="0"/>
      <w:sz w:val="24"/>
    </w:rPr>
  </w:style>
  <w:style w:type="table" w:styleId="a6">
    <w:name w:val="Table Grid"/>
    <w:basedOn w:val="a1"/>
    <w:qFormat/>
    <w:rsid w:val="00722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标题"/>
    <w:basedOn w:val="a"/>
    <w:qFormat/>
    <w:rsid w:val="00722A22"/>
    <w:pPr>
      <w:adjustRightInd w:val="0"/>
      <w:snapToGrid w:val="0"/>
      <w:spacing w:line="360" w:lineRule="auto"/>
      <w:jc w:val="center"/>
    </w:pPr>
    <w:rPr>
      <w:rFonts w:eastAsia="黑体"/>
      <w:kern w:val="0"/>
      <w:sz w:val="28"/>
    </w:rPr>
  </w:style>
  <w:style w:type="paragraph" w:customStyle="1" w:styleId="a8">
    <w:name w:val="表格"/>
    <w:basedOn w:val="a"/>
    <w:qFormat/>
    <w:rsid w:val="00722A22"/>
    <w:pPr>
      <w:widowControl/>
      <w:jc w:val="left"/>
    </w:pPr>
    <w:rPr>
      <w:bCs/>
      <w:iCs/>
      <w:color w:val="000000"/>
      <w:kern w:val="0"/>
      <w:sz w:val="20"/>
    </w:rPr>
  </w:style>
  <w:style w:type="paragraph" w:styleId="a9">
    <w:name w:val="Balloon Text"/>
    <w:basedOn w:val="a"/>
    <w:link w:val="Char"/>
    <w:rsid w:val="00F6262F"/>
    <w:rPr>
      <w:sz w:val="18"/>
      <w:szCs w:val="18"/>
    </w:rPr>
  </w:style>
  <w:style w:type="character" w:customStyle="1" w:styleId="Char">
    <w:name w:val="批注框文本 Char"/>
    <w:basedOn w:val="a0"/>
    <w:link w:val="a9"/>
    <w:rsid w:val="00F6262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461</Words>
  <Characters>2629</Characters>
  <Application>Microsoft Office Word</Application>
  <DocSecurity>0</DocSecurity>
  <Lines>21</Lines>
  <Paragraphs>6</Paragraphs>
  <ScaleCrop>false</ScaleCrop>
  <Company>微软中国</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2018-04-17T02:16:00Z</dcterms:created>
  <dcterms:modified xsi:type="dcterms:W3CDTF">2018-04-17T02:25:00Z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