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237" w:rightChars="-74" w:firstLine="640"/>
      </w:pPr>
    </w:p>
    <w:p>
      <w:pPr>
        <w:spacing w:line="460" w:lineRule="exact"/>
        <w:ind w:right="-237" w:rightChars="-74" w:firstLine="640"/>
      </w:pPr>
    </w:p>
    <w:p>
      <w:pPr>
        <w:spacing w:line="460" w:lineRule="exact"/>
        <w:ind w:right="-237" w:rightChars="-74" w:firstLine="640"/>
      </w:pPr>
    </w:p>
    <w:p>
      <w:pPr>
        <w:spacing w:line="460" w:lineRule="exact"/>
        <w:ind w:right="-237" w:rightChars="-74" w:firstLine="640"/>
      </w:pPr>
    </w:p>
    <w:p>
      <w:pPr>
        <w:tabs>
          <w:tab w:val="left" w:pos="5760"/>
        </w:tabs>
        <w:spacing w:line="500" w:lineRule="exact"/>
        <w:ind w:right="-237" w:rightChars="-74" w:firstLine="640"/>
        <w:jc w:val="right"/>
      </w:pPr>
    </w:p>
    <w:p>
      <w:pPr>
        <w:wordWrap w:val="0"/>
        <w:adjustRightInd w:val="0"/>
        <w:snapToGrid w:val="0"/>
        <w:ind w:firstLine="640"/>
        <w:jc w:val="right"/>
        <w:rPr>
          <w:color w:val="000000"/>
        </w:rPr>
      </w:pPr>
      <w:r>
        <w:rPr>
          <w:color w:val="000000"/>
        </w:rPr>
        <w:t>卫政函〔2018〕142号</w:t>
      </w:r>
    </w:p>
    <w:p>
      <w:pPr>
        <w:spacing w:line="52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spacing w:line="52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600" w:lineRule="exact"/>
        <w:ind w:firstLine="0" w:firstLineChars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市人民政府</w:t>
      </w:r>
    </w:p>
    <w:p>
      <w:pPr>
        <w:snapToGrid w:val="0"/>
        <w:spacing w:line="56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关于2017年全市及市本级财政决算（草案）</w:t>
      </w:r>
    </w:p>
    <w:p>
      <w:pPr>
        <w:snapToGrid w:val="0"/>
        <w:spacing w:line="56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和2018年上半年财政预算执行情况的报告</w:t>
      </w:r>
    </w:p>
    <w:p>
      <w:pPr>
        <w:snapToGrid w:val="0"/>
        <w:spacing w:line="600" w:lineRule="exact"/>
        <w:ind w:firstLine="0" w:firstLineChars="0"/>
        <w:jc w:val="left"/>
        <w:rPr>
          <w:bCs/>
        </w:rPr>
      </w:pPr>
    </w:p>
    <w:p>
      <w:pPr>
        <w:snapToGrid w:val="0"/>
        <w:spacing w:line="600" w:lineRule="exact"/>
        <w:ind w:firstLine="0" w:firstLineChars="0"/>
        <w:jc w:val="left"/>
        <w:rPr>
          <w:bCs/>
        </w:rPr>
      </w:pPr>
      <w:r>
        <w:rPr>
          <w:bCs/>
        </w:rPr>
        <w:t>市人大常委会：</w:t>
      </w:r>
    </w:p>
    <w:p>
      <w:pPr>
        <w:snapToGrid w:val="0"/>
        <w:spacing w:line="600" w:lineRule="exact"/>
        <w:ind w:firstLine="0" w:firstLineChars="0"/>
        <w:jc w:val="left"/>
        <w:rPr>
          <w:bCs/>
        </w:rPr>
      </w:pPr>
      <w:r>
        <w:rPr>
          <w:bCs/>
        </w:rPr>
        <w:t xml:space="preserve">    现将《2017年全市及市本级财政决算（草案）和2018年上半年财政预算执行情况的报告》呈上，请予审议。</w:t>
      </w:r>
    </w:p>
    <w:p>
      <w:pPr>
        <w:snapToGrid w:val="0"/>
        <w:spacing w:line="600" w:lineRule="exact"/>
        <w:ind w:firstLine="0" w:firstLineChars="0"/>
        <w:jc w:val="left"/>
        <w:rPr>
          <w:bCs/>
        </w:rPr>
      </w:pPr>
    </w:p>
    <w:p>
      <w:pPr>
        <w:snapToGrid w:val="0"/>
        <w:spacing w:line="600" w:lineRule="exact"/>
        <w:ind w:firstLine="0" w:firstLineChars="0"/>
        <w:jc w:val="left"/>
        <w:rPr>
          <w:bCs/>
        </w:rPr>
      </w:pPr>
    </w:p>
    <w:p>
      <w:pPr>
        <w:tabs>
          <w:tab w:val="left" w:pos="7513"/>
        </w:tabs>
        <w:snapToGrid w:val="0"/>
        <w:spacing w:line="600" w:lineRule="exact"/>
        <w:ind w:firstLine="0" w:firstLineChars="0"/>
        <w:jc w:val="left"/>
        <w:rPr>
          <w:bCs/>
        </w:rPr>
      </w:pPr>
    </w:p>
    <w:p>
      <w:pPr>
        <w:snapToGrid w:val="0"/>
        <w:spacing w:line="600" w:lineRule="exact"/>
        <w:ind w:firstLine="5120" w:firstLineChars="1600"/>
        <w:jc w:val="left"/>
        <w:rPr>
          <w:bCs/>
        </w:rPr>
      </w:pPr>
      <w:r>
        <w:rPr>
          <w:bCs/>
        </w:rPr>
        <w:t>中卫市人民政府</w:t>
      </w:r>
    </w:p>
    <w:p>
      <w:pPr>
        <w:snapToGrid w:val="0"/>
        <w:spacing w:line="600" w:lineRule="exact"/>
        <w:ind w:firstLine="5120" w:firstLineChars="1600"/>
        <w:jc w:val="left"/>
        <w:rPr>
          <w:bCs/>
        </w:rPr>
      </w:pPr>
      <w:r>
        <w:rPr>
          <w:bCs/>
        </w:rPr>
        <w:t>2018年9月3日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2017年全市及市本级财政决算（草案）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和2018年上半年财政预算执行情况的报告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eastAsia="华文楷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0" w:firstLineChars="0"/>
        <w:textAlignment w:val="auto"/>
        <w:outlineLvl w:val="9"/>
      </w:pPr>
      <w:r>
        <w:t>主任、各位副主任、秘书长、各位委员：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0"/>
        <w:textAlignment w:val="auto"/>
        <w:outlineLvl w:val="9"/>
      </w:pPr>
      <w:r>
        <w:t>受市人民政府委托，向本次常委会报告2017年全市及市本级财政决算（草案）和2018年财政预算上半年执行情况，请审查。</w:t>
      </w:r>
    </w:p>
    <w:p>
      <w:pPr>
        <w:keepNext w:val="0"/>
        <w:keepLines w:val="0"/>
        <w:pageBreakBefore w:val="0"/>
        <w:tabs>
          <w:tab w:val="left" w:pos="8815"/>
        </w:tabs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/>
        <w:textAlignment w:val="auto"/>
        <w:outlineLvl w:val="9"/>
        <w:rPr>
          <w:rFonts w:eastAsia="黑体"/>
        </w:rPr>
      </w:pPr>
      <w:r>
        <w:rPr>
          <w:rFonts w:eastAsia="黑体"/>
        </w:rPr>
        <w:t>一、2017年财政决算情况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0"/>
        <w:textAlignment w:val="auto"/>
        <w:outlineLvl w:val="9"/>
        <w:rPr>
          <w:position w:val="2"/>
        </w:rPr>
      </w:pPr>
      <w:r>
        <w:t>2017年，全市财政工作在市委、市政府的正确领导和市</w:t>
      </w:r>
      <w:r>
        <w:rPr>
          <w:position w:val="2"/>
        </w:rPr>
        <w:t>人大、市政协的监督指导下，坚持稳中求进工作总基调，精细理财增收入，厚植财源夯基础，节约支出保重点，圆满完成了全年财政各项目标任务，为全市经济社会发展提供了支撑。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（一）全市财政决算情况。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rPr>
          <w:kern w:val="0"/>
          <w:position w:val="2"/>
        </w:rPr>
        <w:t>全市地方一般公共预算收入完成24亿元，为预算的102.6</w:t>
      </w:r>
      <w:r>
        <w:rPr>
          <w:lang w:val="en-GB"/>
        </w:rPr>
        <w:t>%</w:t>
      </w:r>
      <w:r>
        <w:rPr>
          <w:kern w:val="0"/>
          <w:position w:val="2"/>
        </w:rPr>
        <w:t>，同口径增长15.0</w:t>
      </w:r>
      <w:r>
        <w:rPr>
          <w:lang w:val="en-GB"/>
        </w:rPr>
        <w:t>%。</w:t>
      </w:r>
      <w:r>
        <w:t>其中：市级10.65亿元（含沙坡头区），为预算的104.6%，同口径增长11.5%；中宁县11.15亿元，为预算的101.4%，同口径增长15.2%；海原县2.21亿元，为预算的100%，同口径增长33.6%。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kern w:val="0"/>
          <w:position w:val="2"/>
        </w:rPr>
      </w:pPr>
      <w:r>
        <w:rPr>
          <w:kern w:val="0"/>
          <w:position w:val="2"/>
        </w:rPr>
        <w:t>一般公共预算支出完成156.69亿元，为变动预算的96.9%，增长9.6%。</w:t>
      </w:r>
      <w:r>
        <w:t>其中：市级59.79亿元（含沙坡头区），为变动预算的95.1%，增长1%；中宁县44.98亿元，为变动预算的97.5%，增长19%；海原县51.92亿元，为变动预算的98.6%，增长13.6%。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kern w:val="0"/>
          <w:position w:val="2"/>
        </w:rPr>
      </w:pPr>
      <w:r>
        <w:rPr>
          <w:kern w:val="0"/>
          <w:position w:val="2"/>
        </w:rPr>
        <w:t>政府性基金预算收入完成9.33亿元，为预算的</w:t>
      </w:r>
      <w:r>
        <w:t>98.2</w:t>
      </w:r>
      <w:r>
        <w:rPr>
          <w:lang w:val="en-GB"/>
        </w:rPr>
        <w:t>%，同比增长</w:t>
      </w:r>
      <w:r>
        <w:t>1.7%</w:t>
      </w:r>
      <w:r>
        <w:rPr>
          <w:kern w:val="0"/>
          <w:position w:val="2"/>
        </w:rPr>
        <w:t>；政府性基金预算支出完成12.06亿元，为变动预算的92.4%，</w:t>
      </w:r>
      <w:r>
        <w:rPr>
          <w:lang w:val="en-GB"/>
        </w:rPr>
        <w:t>同比增长</w:t>
      </w:r>
      <w:r>
        <w:t>29%</w:t>
      </w:r>
      <w:r>
        <w:rPr>
          <w:kern w:val="0"/>
          <w:position w:val="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 w:leftChars="200" w:right="0" w:rightChars="0" w:firstLine="0" w:firstLineChars="0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（二）市本级财政决算情况。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  <w:lang w:val="zh-CN"/>
        </w:rPr>
      </w:pPr>
      <w:r>
        <w:rPr>
          <w:b/>
        </w:rPr>
        <w:t>1.一般公共预算收支决算情况。</w:t>
      </w:r>
      <w:r>
        <w:rPr>
          <w:kern w:val="0"/>
          <w:position w:val="2"/>
          <w:lang w:val="zh-CN"/>
        </w:rPr>
        <w:t>市本级地方一般公共预算收入完成</w:t>
      </w:r>
      <w:r>
        <w:rPr>
          <w:kern w:val="0"/>
          <w:position w:val="2"/>
        </w:rPr>
        <w:t>7.88</w:t>
      </w:r>
      <w:r>
        <w:rPr>
          <w:kern w:val="0"/>
          <w:position w:val="2"/>
          <w:lang w:val="zh-CN"/>
        </w:rPr>
        <w:t>亿元，为预算的</w:t>
      </w:r>
      <w:r>
        <w:rPr>
          <w:kern w:val="0"/>
          <w:position w:val="2"/>
        </w:rPr>
        <w:t>105.6</w:t>
      </w:r>
      <w:r>
        <w:t>%，其中：税收收入完成5.77亿元，为预算的116.3%；非税收入完成2.11亿元，为预算的84.4%。</w:t>
      </w:r>
      <w:r>
        <w:rPr>
          <w:kern w:val="0"/>
          <w:position w:val="2"/>
          <w:lang w:val="zh-CN"/>
        </w:rPr>
        <w:t>一般公共预算支出完成</w:t>
      </w:r>
      <w:r>
        <w:t>48.14</w:t>
      </w:r>
      <w:r>
        <w:rPr>
          <w:kern w:val="0"/>
          <w:position w:val="2"/>
          <w:lang w:val="zh-CN"/>
        </w:rPr>
        <w:t>亿元，为变动预算的</w:t>
      </w:r>
      <w:r>
        <w:rPr>
          <w:kern w:val="0"/>
          <w:position w:val="2"/>
        </w:rPr>
        <w:t>96.1</w:t>
      </w:r>
      <w:r>
        <w:rPr>
          <w:kern w:val="0"/>
          <w:position w:val="2"/>
          <w:lang w:val="zh-CN"/>
        </w:rPr>
        <w:t>%，同比下降</w:t>
      </w:r>
      <w:r>
        <w:rPr>
          <w:kern w:val="0"/>
          <w:position w:val="2"/>
        </w:rPr>
        <w:t>4.2%</w:t>
      </w:r>
      <w:r>
        <w:rPr>
          <w:kern w:val="0"/>
          <w:position w:val="2"/>
          <w:lang w:val="zh-CN"/>
        </w:rPr>
        <w:t>。一般公共预算支出资金来源包括：一般公共预算收入</w:t>
      </w:r>
      <w:r>
        <w:rPr>
          <w:kern w:val="0"/>
          <w:position w:val="2"/>
        </w:rPr>
        <w:t>7.88</w:t>
      </w:r>
      <w:r>
        <w:rPr>
          <w:kern w:val="0"/>
          <w:position w:val="2"/>
          <w:lang w:val="zh-CN"/>
        </w:rPr>
        <w:t>亿元；自治区</w:t>
      </w:r>
      <w:r>
        <w:rPr>
          <w:rFonts w:hint="eastAsia"/>
          <w:kern w:val="0"/>
          <w:position w:val="2"/>
          <w:lang w:val="zh-CN"/>
        </w:rPr>
        <w:t>转移支付</w:t>
      </w:r>
      <w:r>
        <w:rPr>
          <w:kern w:val="0"/>
          <w:position w:val="2"/>
        </w:rPr>
        <w:t>43.82</w:t>
      </w:r>
      <w:r>
        <w:rPr>
          <w:kern w:val="0"/>
          <w:position w:val="2"/>
          <w:lang w:val="zh-CN"/>
        </w:rPr>
        <w:t>亿元（返还性收入</w:t>
      </w:r>
      <w:r>
        <w:rPr>
          <w:kern w:val="0"/>
          <w:position w:val="2"/>
        </w:rPr>
        <w:t>2.86亿元，一般性转移支付收入20.94亿元，专项转移支付收入20.02亿元</w:t>
      </w:r>
      <w:r>
        <w:rPr>
          <w:kern w:val="0"/>
          <w:position w:val="2"/>
          <w:lang w:val="zh-CN"/>
        </w:rPr>
        <w:t>）；债务转贷收入</w:t>
      </w:r>
      <w:r>
        <w:rPr>
          <w:kern w:val="0"/>
          <w:position w:val="2"/>
        </w:rPr>
        <w:t>11.93亿元；</w:t>
      </w:r>
      <w:r>
        <w:rPr>
          <w:kern w:val="0"/>
          <w:position w:val="2"/>
          <w:lang w:val="zh-CN"/>
        </w:rPr>
        <w:t>上年</w:t>
      </w:r>
      <w:r>
        <w:rPr>
          <w:rFonts w:hint="eastAsia"/>
          <w:kern w:val="0"/>
          <w:position w:val="2"/>
          <w:lang w:val="zh-CN"/>
        </w:rPr>
        <w:t>结余</w:t>
      </w:r>
      <w:r>
        <w:rPr>
          <w:kern w:val="0"/>
          <w:position w:val="2"/>
          <w:lang w:val="zh-CN"/>
        </w:rPr>
        <w:t>资金</w:t>
      </w:r>
      <w:r>
        <w:rPr>
          <w:kern w:val="0"/>
          <w:position w:val="2"/>
        </w:rPr>
        <w:t>5.91</w:t>
      </w:r>
      <w:r>
        <w:rPr>
          <w:kern w:val="0"/>
          <w:position w:val="2"/>
          <w:lang w:val="zh-CN"/>
        </w:rPr>
        <w:t>亿元；政府性基金调入资金</w:t>
      </w:r>
      <w:r>
        <w:rPr>
          <w:kern w:val="0"/>
          <w:position w:val="2"/>
        </w:rPr>
        <w:t>2.86</w:t>
      </w:r>
      <w:r>
        <w:rPr>
          <w:kern w:val="0"/>
          <w:position w:val="2"/>
          <w:lang w:val="zh-CN"/>
        </w:rPr>
        <w:t>亿元。补助沙坡头区支出</w:t>
      </w:r>
      <w:r>
        <w:rPr>
          <w:kern w:val="0"/>
          <w:position w:val="2"/>
        </w:rPr>
        <w:t>7.43</w:t>
      </w:r>
      <w:r>
        <w:rPr>
          <w:kern w:val="0"/>
          <w:position w:val="2"/>
          <w:lang w:val="zh-CN"/>
        </w:rPr>
        <w:t>亿元，上解上级支出</w:t>
      </w:r>
      <w:r>
        <w:rPr>
          <w:kern w:val="0"/>
          <w:position w:val="2"/>
        </w:rPr>
        <w:t>0.28</w:t>
      </w:r>
      <w:r>
        <w:rPr>
          <w:kern w:val="0"/>
          <w:position w:val="2"/>
          <w:lang w:val="zh-CN"/>
        </w:rPr>
        <w:t>亿元，债务还本支出</w:t>
      </w:r>
      <w:r>
        <w:rPr>
          <w:kern w:val="0"/>
          <w:position w:val="2"/>
        </w:rPr>
        <w:t>13.25亿元，债务转贷支出0.94亿元，</w:t>
      </w:r>
      <w:r>
        <w:rPr>
          <w:kern w:val="0"/>
          <w:position w:val="2"/>
          <w:lang w:val="zh-CN"/>
        </w:rPr>
        <w:t>补充预算稳定调节基金</w:t>
      </w:r>
      <w:r>
        <w:rPr>
          <w:kern w:val="0"/>
          <w:position w:val="2"/>
        </w:rPr>
        <w:t>0.42</w:t>
      </w:r>
      <w:r>
        <w:rPr>
          <w:kern w:val="0"/>
          <w:position w:val="2"/>
          <w:lang w:val="zh-CN"/>
        </w:rPr>
        <w:t>亿元。收支相抵，年终滚存结余</w:t>
      </w:r>
      <w:r>
        <w:t>1.94</w:t>
      </w:r>
      <w:r>
        <w:rPr>
          <w:kern w:val="0"/>
          <w:position w:val="2"/>
          <w:lang w:val="zh-CN"/>
        </w:rPr>
        <w:t>亿元，全部为结转下年继续使用</w:t>
      </w:r>
      <w:r>
        <w:rPr>
          <w:rFonts w:hint="eastAsia"/>
          <w:kern w:val="0"/>
          <w:position w:val="2"/>
          <w:lang w:val="zh-CN"/>
        </w:rPr>
        <w:t>的</w:t>
      </w:r>
      <w:r>
        <w:rPr>
          <w:kern w:val="0"/>
          <w:position w:val="2"/>
          <w:lang w:val="zh-CN"/>
        </w:rPr>
        <w:t>专项资金。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  <w:lang w:val="zh-CN"/>
        </w:rPr>
      </w:pPr>
      <w:r>
        <w:rPr>
          <w:b/>
        </w:rPr>
        <w:t>2.政府性基金预算收支决算情况。</w:t>
      </w:r>
      <w:r>
        <w:rPr>
          <w:kern w:val="0"/>
          <w:position w:val="2"/>
          <w:lang w:val="zh-CN"/>
        </w:rPr>
        <w:t>市本级政府性基金预算收入完成</w:t>
      </w:r>
      <w:r>
        <w:rPr>
          <w:kern w:val="0"/>
          <w:position w:val="2"/>
        </w:rPr>
        <w:t>4.75</w:t>
      </w:r>
      <w:r>
        <w:rPr>
          <w:kern w:val="0"/>
          <w:position w:val="2"/>
          <w:lang w:val="zh-CN"/>
        </w:rPr>
        <w:t>亿元，为预算的</w:t>
      </w:r>
      <w:r>
        <w:t>94.9%</w:t>
      </w:r>
      <w:r>
        <w:rPr>
          <w:kern w:val="0"/>
          <w:position w:val="2"/>
          <w:lang w:val="zh-CN"/>
        </w:rPr>
        <w:t>；政府性基金预算支出完成</w:t>
      </w:r>
      <w:r>
        <w:t>4.55</w:t>
      </w:r>
      <w:r>
        <w:rPr>
          <w:kern w:val="0"/>
          <w:position w:val="2"/>
          <w:lang w:val="zh-CN"/>
        </w:rPr>
        <w:t>亿元，为变动预算的</w:t>
      </w:r>
      <w:r>
        <w:rPr>
          <w:kern w:val="0"/>
          <w:position w:val="2"/>
        </w:rPr>
        <w:t>92.1%</w:t>
      </w:r>
      <w:r>
        <w:rPr>
          <w:kern w:val="0"/>
          <w:position w:val="2"/>
          <w:lang w:val="zh-CN"/>
        </w:rPr>
        <w:t>。政府性基金预算支出资金来源包括：</w:t>
      </w:r>
      <w:r>
        <w:rPr>
          <w:rFonts w:hint="eastAsia"/>
          <w:kern w:val="0"/>
          <w:position w:val="2"/>
          <w:lang w:val="zh-CN"/>
        </w:rPr>
        <w:t>本级</w:t>
      </w:r>
      <w:r>
        <w:rPr>
          <w:kern w:val="0"/>
          <w:position w:val="2"/>
          <w:lang w:val="zh-CN"/>
        </w:rPr>
        <w:t>预算收入</w:t>
      </w:r>
      <w:r>
        <w:rPr>
          <w:kern w:val="0"/>
          <w:position w:val="2"/>
        </w:rPr>
        <w:t>4.75</w:t>
      </w:r>
      <w:r>
        <w:rPr>
          <w:kern w:val="0"/>
          <w:position w:val="2"/>
          <w:lang w:val="zh-CN"/>
        </w:rPr>
        <w:t>亿元；自治区财政补助收入</w:t>
      </w:r>
      <w:r>
        <w:t>0.58</w:t>
      </w:r>
      <w:r>
        <w:rPr>
          <w:kern w:val="0"/>
          <w:position w:val="2"/>
          <w:lang w:val="zh-CN"/>
        </w:rPr>
        <w:t>亿元；债务转贷收入</w:t>
      </w:r>
      <w:r>
        <w:t>3.02</w:t>
      </w:r>
      <w:r>
        <w:rPr>
          <w:kern w:val="0"/>
          <w:position w:val="2"/>
          <w:lang w:val="zh-CN"/>
        </w:rPr>
        <w:t>亿元；上年结余资金</w:t>
      </w:r>
      <w:r>
        <w:t>1.73</w:t>
      </w:r>
      <w:r>
        <w:rPr>
          <w:kern w:val="0"/>
          <w:position w:val="2"/>
          <w:lang w:val="zh-CN"/>
        </w:rPr>
        <w:t>亿元。补助沙坡头区支出</w:t>
      </w:r>
      <w:r>
        <w:rPr>
          <w:kern w:val="0"/>
          <w:position w:val="2"/>
        </w:rPr>
        <w:t>0.11</w:t>
      </w:r>
      <w:r>
        <w:rPr>
          <w:kern w:val="0"/>
          <w:position w:val="2"/>
          <w:lang w:val="zh-CN"/>
        </w:rPr>
        <w:t>亿元，债务还本支出</w:t>
      </w:r>
      <w:r>
        <w:rPr>
          <w:kern w:val="0"/>
          <w:position w:val="2"/>
        </w:rPr>
        <w:t>1.93亿元，债务转贷支出0.24亿元，</w:t>
      </w:r>
      <w:r>
        <w:rPr>
          <w:kern w:val="0"/>
          <w:position w:val="2"/>
          <w:lang w:val="zh-CN"/>
        </w:rPr>
        <w:t>调出资金</w:t>
      </w:r>
      <w:r>
        <w:rPr>
          <w:kern w:val="0"/>
          <w:position w:val="2"/>
        </w:rPr>
        <w:t>2.86</w:t>
      </w:r>
      <w:r>
        <w:rPr>
          <w:kern w:val="0"/>
          <w:position w:val="2"/>
          <w:lang w:val="zh-CN"/>
        </w:rPr>
        <w:t>亿元，收支相抵，年终滚存结余</w:t>
      </w:r>
      <w:r>
        <w:t>0.39</w:t>
      </w:r>
      <w:r>
        <w:rPr>
          <w:kern w:val="0"/>
          <w:position w:val="2"/>
          <w:lang w:val="zh-CN"/>
        </w:rPr>
        <w:t>亿元，其中待偿债置换债券结余</w:t>
      </w:r>
      <w:r>
        <w:rPr>
          <w:kern w:val="0"/>
          <w:position w:val="2"/>
        </w:rPr>
        <w:t>11万元</w:t>
      </w:r>
      <w:r>
        <w:rPr>
          <w:kern w:val="0"/>
          <w:position w:val="2"/>
          <w:lang w:val="zh-CN"/>
        </w:rPr>
        <w:t>，结转下年继续使用。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  <w:lang w:val="zh-CN"/>
        </w:rPr>
      </w:pPr>
      <w:r>
        <w:rPr>
          <w:b/>
          <w:kern w:val="0"/>
          <w:position w:val="2"/>
          <w:lang w:val="zh-CN"/>
        </w:rPr>
        <w:t>3.社会保险基金预算</w:t>
      </w:r>
      <w:r>
        <w:rPr>
          <w:b/>
        </w:rPr>
        <w:t>收支决算情况</w:t>
      </w:r>
      <w:r>
        <w:rPr>
          <w:b/>
          <w:kern w:val="0"/>
          <w:position w:val="2"/>
          <w:lang w:val="zh-CN"/>
        </w:rPr>
        <w:t>。</w:t>
      </w:r>
      <w:r>
        <w:rPr>
          <w:kern w:val="0"/>
          <w:position w:val="2"/>
          <w:lang w:val="zh-CN"/>
        </w:rPr>
        <w:t>社会保险基金收入完成</w:t>
      </w:r>
      <w:r>
        <w:rPr>
          <w:kern w:val="0"/>
          <w:position w:val="2"/>
        </w:rPr>
        <w:t>19.15</w:t>
      </w:r>
      <w:r>
        <w:rPr>
          <w:kern w:val="0"/>
          <w:position w:val="2"/>
          <w:lang w:val="zh-CN"/>
        </w:rPr>
        <w:t>亿元，完成年度预算的</w:t>
      </w:r>
      <w:r>
        <w:rPr>
          <w:kern w:val="0"/>
          <w:position w:val="2"/>
        </w:rPr>
        <w:t>97.6</w:t>
      </w:r>
      <w:r>
        <w:rPr>
          <w:kern w:val="0"/>
          <w:position w:val="2"/>
          <w:lang w:val="zh-CN"/>
        </w:rPr>
        <w:t>%；上年结转收入</w:t>
      </w:r>
      <w:r>
        <w:rPr>
          <w:kern w:val="0"/>
          <w:position w:val="2"/>
        </w:rPr>
        <w:t>10.21亿元，</w:t>
      </w:r>
      <w:r>
        <w:rPr>
          <w:kern w:val="0"/>
          <w:position w:val="2"/>
          <w:lang w:val="zh-CN"/>
        </w:rPr>
        <w:t>社会保险基金支出完成</w:t>
      </w:r>
      <w:r>
        <w:rPr>
          <w:kern w:val="0"/>
          <w:position w:val="2"/>
        </w:rPr>
        <w:t>16.14</w:t>
      </w:r>
      <w:r>
        <w:rPr>
          <w:kern w:val="0"/>
          <w:position w:val="2"/>
          <w:lang w:val="zh-CN"/>
        </w:rPr>
        <w:t>亿元，完成年度预算的</w:t>
      </w:r>
      <w:r>
        <w:rPr>
          <w:kern w:val="0"/>
          <w:position w:val="2"/>
        </w:rPr>
        <w:t>80.0</w:t>
      </w:r>
      <w:r>
        <w:rPr>
          <w:kern w:val="0"/>
          <w:position w:val="2"/>
          <w:lang w:val="zh-CN"/>
        </w:rPr>
        <w:t>%</w:t>
      </w:r>
      <w:r>
        <w:rPr>
          <w:kern w:val="0"/>
          <w:position w:val="2"/>
        </w:rPr>
        <w:t>，本年收支结余3.01亿元，</w:t>
      </w:r>
      <w:r>
        <w:rPr>
          <w:kern w:val="0"/>
          <w:position w:val="2"/>
          <w:lang w:val="zh-CN"/>
        </w:rPr>
        <w:t>年末滚存结余</w:t>
      </w:r>
      <w:r>
        <w:rPr>
          <w:kern w:val="0"/>
          <w:position w:val="2"/>
        </w:rPr>
        <w:t>13.22</w:t>
      </w:r>
      <w:r>
        <w:rPr>
          <w:kern w:val="0"/>
          <w:position w:val="2"/>
          <w:lang w:val="zh-CN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</w:rPr>
      </w:pPr>
      <w:r>
        <w:rPr>
          <w:b/>
          <w:kern w:val="0"/>
          <w:position w:val="2"/>
        </w:rPr>
        <w:t>4.国有资本经营预算收支决算情况。</w:t>
      </w:r>
      <w:r>
        <w:rPr>
          <w:kern w:val="0"/>
          <w:position w:val="2"/>
        </w:rPr>
        <w:t>国有资本经营预算安排收入、支出均为350万元。由于执行中无收入，相应没有支出。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</w:rPr>
      </w:pPr>
      <w:r>
        <w:rPr>
          <w:rFonts w:eastAsia="楷体_GB2312"/>
          <w:b/>
        </w:rPr>
        <w:t>（三）市本级预备费及超收收入安排情况。</w:t>
      </w:r>
      <w:r>
        <w:rPr>
          <w:kern w:val="0"/>
          <w:position w:val="2"/>
        </w:rPr>
        <w:t>2017年市本级财政预算安排预备费1,000万元，在预算执行中由于部分新增支出项目年初无预算，故动用预备费，主要用于2017年城乡居民医疗保险补助资金。</w:t>
      </w:r>
      <w:r>
        <w:rPr>
          <w:kern w:val="0"/>
          <w:position w:val="2"/>
          <w:lang w:val="zh-CN"/>
        </w:rPr>
        <w:t>一般公共预算收入超收</w:t>
      </w:r>
      <w:r>
        <w:rPr>
          <w:kern w:val="0"/>
          <w:position w:val="2"/>
        </w:rPr>
        <w:t>4206万元</w:t>
      </w:r>
      <w:r>
        <w:rPr>
          <w:kern w:val="0"/>
          <w:position w:val="2"/>
          <w:lang w:val="zh-CN"/>
        </w:rPr>
        <w:t>，按照规定补充预算稳定调节基金，补充后结余</w:t>
      </w:r>
      <w:r>
        <w:rPr>
          <w:kern w:val="0"/>
          <w:position w:val="2"/>
        </w:rPr>
        <w:t>4602万元。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kern w:val="0"/>
          <w:position w:val="2"/>
        </w:rPr>
      </w:pPr>
      <w:r>
        <w:rPr>
          <w:rFonts w:eastAsia="楷体_GB2312"/>
          <w:b/>
        </w:rPr>
        <w:t>（四）市本级政府性债务情况。</w:t>
      </w:r>
      <w:r>
        <w:rPr>
          <w:kern w:val="0"/>
          <w:position w:val="2"/>
          <w:lang w:val="zh-CN"/>
        </w:rPr>
        <w:t>2017年底市本级政府债务余额</w:t>
      </w:r>
      <w:r>
        <w:rPr>
          <w:kern w:val="0"/>
          <w:position w:val="2"/>
        </w:rPr>
        <w:t>116亿元。其中：显性债务</w:t>
      </w:r>
      <w:r>
        <w:rPr>
          <w:kern w:val="0"/>
          <w:position w:val="2"/>
          <w:lang w:val="zh-CN"/>
        </w:rPr>
        <w:t>余额63.72亿元（企业债券5.6亿元，转贷债务1.16亿元，地方政府债券</w:t>
      </w:r>
      <w:r>
        <w:rPr>
          <w:kern w:val="0"/>
          <w:position w:val="2"/>
        </w:rPr>
        <w:t>56.96</w:t>
      </w:r>
      <w:r>
        <w:rPr>
          <w:kern w:val="0"/>
          <w:position w:val="2"/>
          <w:lang w:val="zh-CN"/>
        </w:rPr>
        <w:t>亿元），自治区下达市本级债务限额</w:t>
      </w:r>
      <w:r>
        <w:rPr>
          <w:kern w:val="0"/>
          <w:position w:val="2"/>
        </w:rPr>
        <w:t>76.2亿元，市本级还有举借债券空间12.48亿元</w:t>
      </w:r>
      <w:r>
        <w:rPr>
          <w:kern w:val="0"/>
          <w:position w:val="2"/>
          <w:lang w:val="zh-CN"/>
        </w:rPr>
        <w:t>；隐性债务余额52.28亿元（棚改等银行贷款</w:t>
      </w:r>
      <w:r>
        <w:rPr>
          <w:kern w:val="0"/>
          <w:position w:val="2"/>
        </w:rPr>
        <w:t>38.62亿元，重点建设基金7.61亿元，</w:t>
      </w:r>
      <w:r>
        <w:rPr>
          <w:kern w:val="0"/>
          <w:position w:val="2"/>
          <w:lang w:val="zh-CN"/>
        </w:rPr>
        <w:t>工程欠款6.05亿元）。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（五）认真贯彻落实市人大四届一次会议决议，有力促进了经济发展和民生改善。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/>
        <w:textAlignment w:val="auto"/>
        <w:outlineLvl w:val="9"/>
        <w:rPr>
          <w:color w:val="000000"/>
        </w:rPr>
      </w:pPr>
      <w:r>
        <w:rPr>
          <w:b/>
          <w:bCs/>
          <w:position w:val="2"/>
        </w:rPr>
        <w:t>1.重点项目</w:t>
      </w:r>
      <w:r>
        <w:rPr>
          <w:b/>
          <w:bCs/>
          <w:w w:val="99"/>
          <w:position w:val="2"/>
        </w:rPr>
        <w:t>支出不断优化。</w:t>
      </w:r>
      <w:r>
        <w:rPr>
          <w:position w:val="2"/>
        </w:rPr>
        <w:t>投入3.8亿元，支持智慧中卫云应用、云计算中心一期、中关村中卫园项目建设。投入1.21亿元，支持景区基础设施建设、旅游营销宣传、旅游包机</w:t>
      </w:r>
      <w:r>
        <w:rPr>
          <w:rFonts w:hint="eastAsia"/>
          <w:position w:val="2"/>
          <w:lang w:eastAsia="zh-CN"/>
        </w:rPr>
        <w:t>和</w:t>
      </w:r>
      <w:r>
        <w:rPr>
          <w:position w:val="2"/>
        </w:rPr>
        <w:t>专列补助</w:t>
      </w:r>
      <w:r>
        <w:rPr>
          <w:lang w:val="en-GB"/>
        </w:rPr>
        <w:t>等</w:t>
      </w:r>
      <w:r>
        <w:rPr>
          <w:position w:val="2"/>
        </w:rPr>
        <w:t>。</w:t>
      </w:r>
      <w:r>
        <w:t>投入1.22亿元，支持航线、公交、</w:t>
      </w:r>
      <w:r>
        <w:rPr>
          <w:position w:val="2"/>
        </w:rPr>
        <w:t>包兰铁路立交桥、</w:t>
      </w:r>
      <w:r>
        <w:t>城际铁路基础设施建设。</w:t>
      </w:r>
      <w:r>
        <w:rPr>
          <w:position w:val="2"/>
        </w:rPr>
        <w:t>投入8.55亿元，用于城市及工业园区基础设施建设、城市供热管网，提升城市承载能力。</w:t>
      </w:r>
      <w:r>
        <w:rPr>
          <w:bCs/>
          <w:color w:val="000000"/>
        </w:rPr>
        <w:t>投入4.68亿元，重点支持</w:t>
      </w:r>
      <w:r>
        <w:rPr>
          <w:color w:val="000000"/>
        </w:rPr>
        <w:t>高效节水灌溉、特色农业、农业产业化发展，推进现代农业提质增效。</w:t>
      </w:r>
      <w:r>
        <w:rPr>
          <w:position w:val="2"/>
        </w:rPr>
        <w:t>投入1.16亿元，扶持企业在新型工业化、科技基础条件建设、高新技术产业利用，有效推进经济转型发展。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/>
        <w:textAlignment w:val="auto"/>
        <w:outlineLvl w:val="9"/>
        <w:rPr>
          <w:b/>
          <w:color w:val="FF0000"/>
        </w:rPr>
      </w:pPr>
      <w:r>
        <w:rPr>
          <w:b/>
          <w:bCs/>
          <w:position w:val="2"/>
        </w:rPr>
        <w:t>2.民生保障不断巩固。</w:t>
      </w:r>
      <w:r>
        <w:t>安排1,145万元，为2,290名特困家庭学生每人每年给予5,000元资助。</w:t>
      </w:r>
      <w:r>
        <w:rPr>
          <w:position w:val="2"/>
        </w:rPr>
        <w:t>设立2.42亿元扶贫产业担保基金，累计发放扶贫小额信贷11.9亿元。安排8.58亿元，用于棚户区改造，改善人民群众居住环境</w:t>
      </w:r>
      <w:r>
        <w:t>。安排1.26亿元，促进各级各类教育均衡协调发展。安排被征地农民养老保险费用1.27亿元，城乡居民基础养老金调增费用480万元。</w:t>
      </w:r>
      <w:r>
        <w:rPr>
          <w:rFonts w:hint="eastAsia"/>
          <w:lang w:eastAsia="zh-CN"/>
        </w:rPr>
        <w:t>安排</w:t>
      </w:r>
      <w:r>
        <w:t>2.93亿元，保障居民医疗保险、公立医院综合改革、公共卫生服务等。</w:t>
      </w:r>
      <w:r>
        <w:rPr>
          <w:rFonts w:hint="eastAsia"/>
          <w:lang w:eastAsia="zh-CN"/>
        </w:rPr>
        <w:t>安排</w:t>
      </w:r>
      <w:r>
        <w:t>1.9</w:t>
      </w:r>
      <w:r>
        <w:rPr>
          <w:rFonts w:hint="eastAsia"/>
          <w:lang w:val="en-US" w:eastAsia="zh-CN"/>
        </w:rPr>
        <w:t>8</w:t>
      </w:r>
      <w:r>
        <w:t>亿元，支持城乡劳动力技能培训、重点群体就业、创业者贴息</w:t>
      </w:r>
      <w:r>
        <w:rPr>
          <w:rFonts w:hint="eastAsia"/>
          <w:lang w:eastAsia="zh-CN"/>
        </w:rPr>
        <w:t>、</w:t>
      </w:r>
      <w:r>
        <w:t>稳岗补贴等，带动就业1万余人。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/>
        <w:textAlignment w:val="auto"/>
        <w:outlineLvl w:val="9"/>
        <w:rPr>
          <w:bCs/>
        </w:rPr>
      </w:pPr>
      <w:r>
        <w:rPr>
          <w:b/>
          <w:bCs/>
          <w:position w:val="2"/>
        </w:rPr>
        <w:t>3.改革创新不断深入。一是</w:t>
      </w:r>
      <w:r>
        <w:rPr>
          <w:position w:val="2"/>
        </w:rPr>
        <w:t>进一步深化财政改革，健全和完善预算支出定额标准体系，细化部门基本支出和项目支出预算编制，提高财政资金使用效益。</w:t>
      </w:r>
      <w:r>
        <w:rPr>
          <w:b/>
          <w:bCs/>
          <w:position w:val="2"/>
        </w:rPr>
        <w:t>二是</w:t>
      </w:r>
      <w:r>
        <w:rPr>
          <w:position w:val="2"/>
        </w:rPr>
        <w:t>打造金融发展新格局，不断壮大转贷、担保、贴息等6个“资金池”，充分发挥地方性非银行金融机构服务企业功能，着力解决实体经济融资难、贷款难、担保难问题。</w:t>
      </w:r>
      <w:r>
        <w:rPr>
          <w:b/>
          <w:bCs/>
          <w:position w:val="2"/>
        </w:rPr>
        <w:t>三是</w:t>
      </w:r>
      <w:r>
        <w:rPr>
          <w:position w:val="2"/>
        </w:rPr>
        <w:t>推进内控体系建设，将内控制度、操作程序、控制活动、控制措施融入财政业务全过程。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t>市审计局对市本级2017年预算执行情况进行了全面审计，并提出了一些建设性的意见建议。对此，我们将认真整改。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rFonts w:eastAsia="黑体"/>
        </w:rPr>
      </w:pPr>
      <w:r>
        <w:rPr>
          <w:rFonts w:eastAsia="黑体"/>
        </w:rPr>
        <w:t>二、2018年上半年预算执行情况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t>今年以来，立足中卫转型追赶、高质量发展的新使命，进一步拓展财政职能，自觉服从和服务于全市战略决策部署，着力保障运转，着力</w:t>
      </w:r>
      <w:r>
        <w:rPr>
          <w:rFonts w:hint="eastAsia"/>
          <w:lang w:eastAsia="zh-CN"/>
        </w:rPr>
        <w:t>改善</w:t>
      </w:r>
      <w:r>
        <w:t>民生，着力支持重点项目，推动财政管理工作再上台阶、再攀新高。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（一）全市财政预算执行情况。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t>全市地方一般公共预算收入完成12.12亿元，为预算的47.8%，同比</w:t>
      </w:r>
      <w:r>
        <w:rPr>
          <w:color w:val="000000"/>
        </w:rPr>
        <w:t>增长0.7%</w:t>
      </w:r>
      <w:r>
        <w:t>。其中：市级6.23亿元（含沙坡头区），为预算的56.5%，同比增长9.9%；中宁县4.85亿元，为预算的40.8%，同比下降7.6%；海原县1.03亿元，为预算的42.9%，同比下降7.2%。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t>一般公共预算支出完成75.07亿元，为变动预算的61.4%，同比增长14.8%。其中：市级27.65亿元（含沙坡头区），为变动预算的58.9%，同比增长8.2%；中宁县22.49亿元，为变动预算的62.2%，同比增长20.4%；海原县24.93亿元，为变动预算的63.7%，同比增长17.9%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</w:pPr>
      <w:r>
        <w:t>政府性基金预算收入完成3.95亿元，为预算的46.4%；政府性基金预算支出完成3.55亿元，为变动预算的37.1%。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（二）市本级财政预算执行情况。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position w:val="2"/>
        </w:rPr>
      </w:pPr>
      <w:r>
        <w:t>市本级地方一般公共预算收入完成4.84亿元，为预算的61.9%，同比</w:t>
      </w:r>
      <w:r>
        <w:rPr>
          <w:color w:val="000000"/>
        </w:rPr>
        <w:t>增长7.6%，其中：税收收入完成2.95亿元，为预算的54.6%，同比下降1.8%；非税收入完成1.89亿元，为预算的78.3%，同比增长26.4%。</w:t>
      </w:r>
      <w:r>
        <w:rPr>
          <w:position w:val="2"/>
          <w:lang w:val="zh-CN"/>
        </w:rPr>
        <w:t>一般公共预算支出完成</w:t>
      </w:r>
      <w:r>
        <w:rPr>
          <w:position w:val="2"/>
        </w:rPr>
        <w:t>22.60</w:t>
      </w:r>
      <w:r>
        <w:rPr>
          <w:position w:val="2"/>
          <w:lang w:val="zh-CN"/>
        </w:rPr>
        <w:t>亿元，为变动预算的</w:t>
      </w:r>
      <w:r>
        <w:rPr>
          <w:position w:val="2"/>
        </w:rPr>
        <w:t>61.8</w:t>
      </w:r>
      <w:r>
        <w:rPr>
          <w:position w:val="2"/>
          <w:lang w:val="zh-CN"/>
        </w:rPr>
        <w:t>%，同比下降</w:t>
      </w:r>
      <w:r>
        <w:rPr>
          <w:position w:val="2"/>
        </w:rPr>
        <w:t>0.1</w:t>
      </w:r>
      <w:r>
        <w:rPr>
          <w:position w:val="2"/>
          <w:lang w:val="zh-CN"/>
        </w:rPr>
        <w:t>%。政府性基金预算收入完成</w:t>
      </w:r>
      <w:r>
        <w:rPr>
          <w:position w:val="2"/>
        </w:rPr>
        <w:t>2.41</w:t>
      </w:r>
      <w:r>
        <w:rPr>
          <w:position w:val="2"/>
          <w:lang w:val="zh-CN"/>
        </w:rPr>
        <w:t>亿元，为预算的</w:t>
      </w:r>
      <w:r>
        <w:rPr>
          <w:position w:val="2"/>
        </w:rPr>
        <w:t>48.3</w:t>
      </w:r>
      <w:r>
        <w:rPr>
          <w:position w:val="2"/>
          <w:lang w:val="zh-CN"/>
        </w:rPr>
        <w:t>%；政府性基金预算支出完成</w:t>
      </w:r>
      <w:r>
        <w:rPr>
          <w:position w:val="2"/>
        </w:rPr>
        <w:t>2.76</w:t>
      </w:r>
      <w:r>
        <w:rPr>
          <w:position w:val="2"/>
          <w:lang w:val="zh-CN"/>
        </w:rPr>
        <w:t>亿元，为变动预算的</w:t>
      </w:r>
      <w:r>
        <w:rPr>
          <w:position w:val="2"/>
        </w:rPr>
        <w:t>50.0</w:t>
      </w:r>
      <w:r>
        <w:rPr>
          <w:position w:val="2"/>
          <w:lang w:val="zh-CN"/>
        </w:rPr>
        <w:t>%。社会保险基金收入完成</w:t>
      </w:r>
      <w:r>
        <w:rPr>
          <w:position w:val="2"/>
        </w:rPr>
        <w:t>7.40</w:t>
      </w:r>
      <w:r>
        <w:rPr>
          <w:position w:val="2"/>
          <w:lang w:val="zh-CN"/>
        </w:rPr>
        <w:t>亿元，完成年度预算的</w:t>
      </w:r>
      <w:r>
        <w:rPr>
          <w:position w:val="2"/>
        </w:rPr>
        <w:t>42.8</w:t>
      </w:r>
      <w:r>
        <w:rPr>
          <w:position w:val="2"/>
          <w:lang w:val="zh-CN"/>
        </w:rPr>
        <w:t>%；社会保险基金支出完成</w:t>
      </w:r>
      <w:r>
        <w:rPr>
          <w:position w:val="2"/>
        </w:rPr>
        <w:t>7.58</w:t>
      </w:r>
      <w:r>
        <w:rPr>
          <w:position w:val="2"/>
          <w:lang w:val="zh-CN"/>
        </w:rPr>
        <w:t>亿元，完成年度预算的</w:t>
      </w:r>
      <w:r>
        <w:rPr>
          <w:position w:val="2"/>
        </w:rPr>
        <w:t>41.2</w:t>
      </w:r>
      <w:r>
        <w:rPr>
          <w:position w:val="2"/>
          <w:lang w:val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rFonts w:eastAsia="楷体_GB2312"/>
          <w:b/>
        </w:rPr>
      </w:pPr>
      <w:r>
        <w:rPr>
          <w:rFonts w:eastAsia="楷体_GB2312"/>
          <w:b/>
        </w:rPr>
        <w:t>（三）财政重点工作进展情况。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</w:pPr>
      <w:r>
        <w:rPr>
          <w:b/>
          <w:color w:val="000000"/>
        </w:rPr>
        <w:t>1.</w:t>
      </w:r>
      <w:r>
        <w:rPr>
          <w:b/>
          <w:color w:val="000000"/>
          <w:lang w:val="en-GB"/>
        </w:rPr>
        <w:t>增强收入征管，</w:t>
      </w:r>
      <w:r>
        <w:rPr>
          <w:b/>
        </w:rPr>
        <w:t>地方财力</w:t>
      </w:r>
      <w:r>
        <w:rPr>
          <w:b/>
          <w:color w:val="000000"/>
          <w:lang w:val="en-GB"/>
        </w:rPr>
        <w:t>平稳增长。</w:t>
      </w:r>
      <w:r>
        <w:rPr>
          <w:b/>
          <w:bCs/>
        </w:rPr>
        <w:t>一是</w:t>
      </w:r>
      <w:r>
        <w:t>抓组织保障，定期召开财税库联席会议，解决收入征管中存在的障碍和问题，依法依规组织好税收收入。</w:t>
      </w:r>
      <w:r>
        <w:rPr>
          <w:rFonts w:hint="eastAsia"/>
          <w:lang w:eastAsia="zh-CN"/>
        </w:rPr>
        <w:t>二</w:t>
      </w:r>
      <w:r>
        <w:rPr>
          <w:b/>
          <w:bCs/>
        </w:rPr>
        <w:t>是</w:t>
      </w:r>
      <w:r>
        <w:t>抓重点工程，健全</w:t>
      </w:r>
      <w:r>
        <w:rPr>
          <w:lang w:val="en-GB"/>
        </w:rPr>
        <w:t>完善工程款支付监控机制，</w:t>
      </w:r>
      <w:r>
        <w:t>确保重点税源税款的及时、足额入库。</w:t>
      </w:r>
      <w:r>
        <w:rPr>
          <w:rFonts w:hint="eastAsia"/>
          <w:lang w:eastAsia="zh-CN"/>
        </w:rPr>
        <w:t>三</w:t>
      </w:r>
      <w:r>
        <w:rPr>
          <w:b/>
          <w:bCs/>
        </w:rPr>
        <w:t>是</w:t>
      </w:r>
      <w:r>
        <w:t>抓清理欠税，严格落实清欠责任，依法采取有效措施清理欠税。上半年，市本级一般公共预算收入完成4.84亿元，为预算的61.9%，同比增长7.6%，顺利完成时间过半、任务过半目标。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jc w:val="left"/>
        <w:textAlignment w:val="auto"/>
        <w:outlineLvl w:val="9"/>
      </w:pPr>
      <w:r>
        <w:rPr>
          <w:b/>
        </w:rPr>
        <w:t>2.突出重点保障，产业结构持续改善。</w:t>
      </w:r>
      <w:r>
        <w:t>安排资金2,629万元，用于云计算企业电价补贴、联通公司数据中心补贴、12345一号通民生服务平台建设。安排资金4,982万元，用于旅游宣传营销、景区基础设施建设、景区生态修复等。安排资金3,357万元，用于道路基础设施、航线补贴、物流园区道路建设。安排资金3.6亿元，用于工业园区基础设施建设、城市基础设施建设等。安排资金3.5亿元，用于“1+5”特色产业、农业产业化发展</w:t>
      </w:r>
      <w:r>
        <w:rPr>
          <w:rFonts w:hint="eastAsia"/>
          <w:lang w:eastAsia="zh-CN"/>
        </w:rPr>
        <w:t>等</w:t>
      </w:r>
      <w:r>
        <w:t>。安排资金2.1亿元，用于大气污染防治、沙坡头自然保护区环保整治拆迁补偿。安排资金7,404万元，用于企业技术改造基建投资、知识产权补助、双创示范项目。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/>
        <w:textAlignment w:val="auto"/>
        <w:outlineLvl w:val="9"/>
      </w:pPr>
      <w:r>
        <w:rPr>
          <w:b/>
          <w:bCs/>
          <w:color w:val="000000"/>
        </w:rPr>
        <w:t>3.强化公共服务，</w:t>
      </w:r>
      <w:r>
        <w:rPr>
          <w:b/>
        </w:rPr>
        <w:t>民生事业保障有力。</w:t>
      </w:r>
      <w:r>
        <w:t>落实“离土”脱贫扶持政策，拨付资金1,377万元，对2,755名</w:t>
      </w:r>
      <w:r>
        <w:rPr>
          <w:rFonts w:hint="eastAsia"/>
          <w:lang w:eastAsia="zh-CN"/>
        </w:rPr>
        <w:t>贫困</w:t>
      </w:r>
      <w:r>
        <w:t>家庭大学生每人每年给予5,000元就学资助。投入2.95亿元保障学前教育、义务教育、普通高中</w:t>
      </w:r>
      <w:r>
        <w:rPr>
          <w:rFonts w:hint="eastAsia"/>
          <w:lang w:eastAsia="zh-CN"/>
        </w:rPr>
        <w:t>各类</w:t>
      </w:r>
      <w:r>
        <w:t>经费、薄弱学校改造等。</w:t>
      </w:r>
      <w:r>
        <w:rPr>
          <w:bCs/>
          <w:color w:val="000000"/>
          <w:kern w:val="0"/>
        </w:rPr>
        <w:t>拨付</w:t>
      </w:r>
      <w:r>
        <w:t>失地农民基本养老保险</w:t>
      </w:r>
      <w:r>
        <w:rPr>
          <w:bCs/>
          <w:color w:val="000000"/>
          <w:kern w:val="0"/>
        </w:rPr>
        <w:t>资金4,315万元</w:t>
      </w:r>
      <w:r>
        <w:t>。</w:t>
      </w:r>
      <w:r>
        <w:rPr>
          <w:bCs/>
        </w:rPr>
        <w:t>投入资金3,390万元，</w:t>
      </w:r>
      <w:r>
        <w:rPr>
          <w:color w:val="000000"/>
          <w:kern w:val="0"/>
        </w:rPr>
        <w:t>支持慈爱康复中心、残疾人康复中心项目建设</w:t>
      </w:r>
      <w:r>
        <w:rPr>
          <w:rFonts w:hint="eastAsia"/>
          <w:color w:val="000000"/>
          <w:kern w:val="0"/>
          <w:lang w:eastAsia="zh-CN"/>
        </w:rPr>
        <w:t>。</w:t>
      </w:r>
      <w:r>
        <w:rPr>
          <w:color w:val="000000"/>
          <w:kern w:val="0"/>
        </w:rPr>
        <w:t>拨付困难群众、</w:t>
      </w:r>
      <w:r>
        <w:t>临时救助</w:t>
      </w:r>
      <w:r>
        <w:rPr>
          <w:color w:val="000000"/>
          <w:kern w:val="0"/>
        </w:rPr>
        <w:t>补助资金8,407万元</w:t>
      </w:r>
      <w:r>
        <w:t>，</w:t>
      </w:r>
      <w:r>
        <w:rPr>
          <w:color w:val="000000"/>
          <w:kern w:val="0"/>
        </w:rPr>
        <w:t>受益困难群众3万余人</w:t>
      </w:r>
      <w:r>
        <w:rPr>
          <w:bCs/>
          <w:color w:val="000000"/>
          <w:kern w:val="0"/>
        </w:rPr>
        <w:t>。</w:t>
      </w:r>
      <w:r>
        <w:rPr>
          <w:bCs/>
          <w:kern w:val="0"/>
        </w:rPr>
        <w:t>投入资金2.18亿元</w:t>
      </w:r>
      <w:r>
        <w:rPr>
          <w:rFonts w:hint="eastAsia"/>
          <w:bCs/>
          <w:kern w:val="0"/>
          <w:lang w:eastAsia="zh-CN"/>
        </w:rPr>
        <w:t>，</w:t>
      </w:r>
      <w:r>
        <w:rPr>
          <w:bCs/>
          <w:kern w:val="0"/>
        </w:rPr>
        <w:t>支持</w:t>
      </w:r>
      <w:r>
        <w:rPr>
          <w:kern w:val="0"/>
        </w:rPr>
        <w:t>公立医院综合改革、</w:t>
      </w:r>
      <w:r>
        <w:t>中医院迁建项目、大型医疗设备采购、市妇幼保健服务中心项目。</w:t>
      </w:r>
      <w:r>
        <w:rPr>
          <w:bCs/>
        </w:rPr>
        <w:t>投入资金2,732万元，</w:t>
      </w:r>
      <w:r>
        <w:t>用于创业培训工作、公益性岗位、“三支一扶”等补贴</w:t>
      </w:r>
      <w:r>
        <w:rPr>
          <w:rFonts w:hint="eastAsia"/>
          <w:lang w:eastAsia="zh-CN"/>
        </w:rPr>
        <w:t>。</w:t>
      </w:r>
      <w:r>
        <w:rPr>
          <w:color w:val="000000"/>
          <w:kern w:val="0"/>
        </w:rPr>
        <w:t>支持小额担保贷款工作，</w:t>
      </w:r>
      <w:r>
        <w:rPr>
          <w:color w:val="000000"/>
        </w:rPr>
        <w:t>发放贷款4.84亿元，财政贴息1</w:t>
      </w:r>
      <w:r>
        <w:t>,</w:t>
      </w:r>
      <w:r>
        <w:rPr>
          <w:color w:val="000000"/>
        </w:rPr>
        <w:t>736万元，带动就业15,000人。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</w:pPr>
      <w:r>
        <w:rPr>
          <w:b/>
          <w:color w:val="000000"/>
        </w:rPr>
        <w:t>4.</w:t>
      </w:r>
      <w:r>
        <w:rPr>
          <w:b/>
          <w:color w:val="000000"/>
          <w:lang w:val="en-GB"/>
        </w:rPr>
        <w:t>深化体制改革，财政管理不断提高。</w:t>
      </w:r>
      <w:r>
        <w:rPr>
          <w:b/>
          <w:bCs/>
        </w:rPr>
        <w:t>一是</w:t>
      </w:r>
      <w:r>
        <w:t>进一步转变观念，出台了《关于进一步加强财政资金管理的意见》，规范财政资金</w:t>
      </w:r>
      <w:r>
        <w:rPr>
          <w:rFonts w:hint="eastAsia"/>
          <w:lang w:eastAsia="zh-CN"/>
        </w:rPr>
        <w:t>管理</w:t>
      </w:r>
      <w:r>
        <w:t>，保证预算执行均衡、可持续。</w:t>
      </w:r>
      <w:r>
        <w:rPr>
          <w:b/>
          <w:bCs/>
        </w:rPr>
        <w:t>二是</w:t>
      </w:r>
      <w:r>
        <w:t>实施绩效管理，提高资金使用效率。引入第三方机构介入评价，推动绩效评价结果</w:t>
      </w:r>
      <w:r>
        <w:rPr>
          <w:rFonts w:hint="eastAsia"/>
          <w:lang w:eastAsia="zh-CN"/>
        </w:rPr>
        <w:t>运用</w:t>
      </w:r>
      <w:r>
        <w:t>，切实提高财政资金使用效益。</w:t>
      </w:r>
      <w:r>
        <w:rPr>
          <w:rFonts w:hint="eastAsia"/>
          <w:lang w:eastAsia="zh-CN"/>
        </w:rPr>
        <w:t>三</w:t>
      </w:r>
      <w:r>
        <w:rPr>
          <w:b/>
          <w:bCs/>
        </w:rPr>
        <w:t>是</w:t>
      </w:r>
      <w:r>
        <w:t>政府债务管理逐步加强，成立</w:t>
      </w:r>
      <w:r>
        <w:rPr>
          <w:rFonts w:hint="eastAsia"/>
          <w:lang w:eastAsia="zh-CN"/>
        </w:rPr>
        <w:t>了</w:t>
      </w:r>
      <w:r>
        <w:t>中卫市政府性债务管理领导小组，出台了</w:t>
      </w:r>
      <w:r>
        <w:rPr>
          <w:bCs/>
          <w:kern w:val="0"/>
        </w:rPr>
        <w:t>《关于贯彻落实自治区人民政府加强政府性债务管理的实施意见》等制度，</w:t>
      </w:r>
      <w:r>
        <w:t>制定了</w:t>
      </w:r>
      <w:r>
        <w:rPr>
          <w:bCs/>
        </w:rPr>
        <w:t>政府债务化解任务清单，</w:t>
      </w:r>
      <w:r>
        <w:rPr>
          <w:bCs/>
          <w:kern w:val="0"/>
        </w:rPr>
        <w:t>确保债务规模合理、风险可控、使用规范。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bCs/>
          <w:kern w:val="0"/>
        </w:rPr>
      </w:pPr>
      <w:r>
        <w:rPr>
          <w:bCs/>
          <w:kern w:val="0"/>
        </w:rPr>
        <w:t>在看到成绩的同时，我们也清醒地认识到，目前</w:t>
      </w:r>
      <w:r>
        <w:rPr>
          <w:rFonts w:hint="eastAsia"/>
          <w:bCs/>
          <w:kern w:val="0"/>
          <w:lang w:eastAsia="zh-CN"/>
        </w:rPr>
        <w:t>还</w:t>
      </w:r>
      <w:r>
        <w:rPr>
          <w:bCs/>
          <w:kern w:val="0"/>
        </w:rPr>
        <w:t>存在</w:t>
      </w:r>
      <w:r>
        <w:rPr>
          <w:rFonts w:hint="eastAsia"/>
          <w:bCs/>
          <w:kern w:val="0"/>
          <w:lang w:eastAsia="zh-CN"/>
        </w:rPr>
        <w:t>的</w:t>
      </w:r>
      <w:r>
        <w:rPr>
          <w:bCs/>
          <w:kern w:val="0"/>
        </w:rPr>
        <w:t>一些问题：</w:t>
      </w:r>
      <w:r>
        <w:rPr>
          <w:b/>
          <w:kern w:val="0"/>
        </w:rPr>
        <w:t>一是</w:t>
      </w:r>
      <w:r>
        <w:rPr>
          <w:bCs/>
          <w:kern w:val="0"/>
        </w:rPr>
        <w:t>财源基础不稳固，收入质量欠佳，刚性支出持续加大，紧平衡特征明显；</w:t>
      </w:r>
      <w:r>
        <w:rPr>
          <w:b/>
          <w:kern w:val="0"/>
        </w:rPr>
        <w:t>二是</w:t>
      </w:r>
      <w:r>
        <w:rPr>
          <w:bCs/>
          <w:kern w:val="0"/>
        </w:rPr>
        <w:t>市本级政府性债务规模较大，还本付息压力较大；</w:t>
      </w:r>
      <w:r>
        <w:rPr>
          <w:b/>
          <w:kern w:val="0"/>
        </w:rPr>
        <w:t>三是</w:t>
      </w:r>
      <w:r>
        <w:rPr>
          <w:bCs/>
          <w:kern w:val="0"/>
        </w:rPr>
        <w:t>支出结构仍需优化，资金使用碎片化问题亟待破解。对此，我们将采取有力措施，认真加以解决。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outlineLvl w:val="9"/>
        <w:rPr>
          <w:rFonts w:eastAsia="黑体"/>
        </w:rPr>
      </w:pPr>
      <w:r>
        <w:rPr>
          <w:rFonts w:eastAsia="黑体"/>
        </w:rPr>
        <w:t>三、下半年工作思路及措施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bCs/>
          <w:kern w:val="0"/>
        </w:rPr>
      </w:pPr>
      <w:r>
        <w:rPr>
          <w:rFonts w:eastAsia="楷体_GB2312"/>
          <w:b/>
          <w:kern w:val="0"/>
        </w:rPr>
        <w:t>（一）强化组织收入力度，确保完成年度目标。</w:t>
      </w:r>
      <w:r>
        <w:rPr>
          <w:bCs/>
          <w:kern w:val="0"/>
        </w:rPr>
        <w:t>坚持稳中求进总基调和组织收入原则不动摇，促进财政收入均衡稳定增长。</w:t>
      </w:r>
      <w:r>
        <w:rPr>
          <w:b/>
          <w:kern w:val="0"/>
        </w:rPr>
        <w:t>一是</w:t>
      </w:r>
      <w:r>
        <w:rPr>
          <w:bCs/>
          <w:kern w:val="0"/>
        </w:rPr>
        <w:t>加大税收征收力度。财税部门密切配合，强化重点税源监控，紧盯重点税源企业发展态势</w:t>
      </w:r>
      <w:r>
        <w:rPr>
          <w:rFonts w:hint="eastAsia"/>
          <w:bCs/>
          <w:kern w:val="0"/>
          <w:lang w:eastAsia="zh-CN"/>
        </w:rPr>
        <w:t>，</w:t>
      </w:r>
      <w:r>
        <w:rPr>
          <w:bCs/>
          <w:kern w:val="0"/>
        </w:rPr>
        <w:t>规范非税收入征缴，做到应收尽收。</w:t>
      </w:r>
      <w:r>
        <w:rPr>
          <w:b/>
          <w:kern w:val="0"/>
        </w:rPr>
        <w:t>二是</w:t>
      </w:r>
      <w:r>
        <w:rPr>
          <w:bCs/>
          <w:kern w:val="0"/>
        </w:rPr>
        <w:t>加大欠税清缴力度。对欠税户及欠税金额进行核查，依法采取有效措施清理欠税。</w:t>
      </w:r>
      <w:r>
        <w:rPr>
          <w:rFonts w:hint="eastAsia"/>
          <w:bCs/>
          <w:kern w:val="0"/>
          <w:lang w:eastAsia="zh-CN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是</w:t>
      </w:r>
      <w:r>
        <w:rPr>
          <w:rFonts w:hint="eastAsia"/>
          <w:b w:val="0"/>
          <w:bCs w:val="0"/>
          <w:sz w:val="32"/>
          <w:szCs w:val="32"/>
          <w:lang w:eastAsia="zh-CN"/>
        </w:rPr>
        <w:t>积极</w:t>
      </w:r>
      <w:r>
        <w:rPr>
          <w:rFonts w:hint="eastAsia"/>
          <w:bCs/>
          <w:sz w:val="32"/>
          <w:szCs w:val="32"/>
          <w:lang w:val="zh-CN"/>
        </w:rPr>
        <w:t>培植财源建设，</w:t>
      </w:r>
      <w:r>
        <w:rPr>
          <w:rFonts w:eastAsia="仿宋_GB2312"/>
          <w:sz w:val="32"/>
          <w:szCs w:val="32"/>
        </w:rPr>
        <w:t>认真落实</w:t>
      </w:r>
      <w:r>
        <w:rPr>
          <w:rFonts w:hint="eastAsia"/>
          <w:sz w:val="32"/>
          <w:szCs w:val="32"/>
          <w:lang w:eastAsia="zh-CN"/>
        </w:rPr>
        <w:t>招商引资</w:t>
      </w:r>
      <w:r>
        <w:rPr>
          <w:rFonts w:eastAsia="仿宋_GB2312"/>
          <w:sz w:val="32"/>
          <w:szCs w:val="32"/>
        </w:rPr>
        <w:t>惠企发展各项优惠政策，激</w:t>
      </w:r>
      <w:bookmarkStart w:id="0" w:name="_GoBack"/>
      <w:bookmarkEnd w:id="0"/>
      <w:r>
        <w:rPr>
          <w:rFonts w:eastAsia="仿宋_GB2312"/>
          <w:sz w:val="32"/>
          <w:szCs w:val="32"/>
        </w:rPr>
        <w:t>发市场活力，</w:t>
      </w:r>
      <w:r>
        <w:rPr>
          <w:rFonts w:eastAsia="仿宋_GB2312"/>
          <w:bCs/>
          <w:sz w:val="32"/>
          <w:szCs w:val="32"/>
          <w:lang w:val="zh-CN"/>
        </w:rPr>
        <w:t>培育壮大产业</w:t>
      </w:r>
      <w:r>
        <w:rPr>
          <w:rFonts w:hint="eastAsia"/>
          <w:bCs/>
          <w:sz w:val="32"/>
          <w:szCs w:val="32"/>
          <w:lang w:val="zh-CN"/>
        </w:rPr>
        <w:t>发展</w:t>
      </w:r>
      <w:r>
        <w:rPr>
          <w:rFonts w:eastAsia="仿宋_GB2312"/>
          <w:bCs/>
          <w:sz w:val="32"/>
          <w:szCs w:val="32"/>
          <w:lang w:val="zh-CN"/>
        </w:rPr>
        <w:t>。</w:t>
      </w:r>
      <w:r>
        <w:rPr>
          <w:bCs/>
          <w:kern w:val="0"/>
        </w:rPr>
        <w:t>确保完成年度财政收入增长8%目标任务。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eastAsia="楷体_GB2312"/>
          <w:b/>
          <w:kern w:val="0"/>
        </w:rPr>
        <w:t>（二）不断提升保障能力，促进社会和谐发展。</w:t>
      </w:r>
      <w:r>
        <w:rPr>
          <w:bCs/>
          <w:kern w:val="0"/>
        </w:rPr>
        <w:t>继续落实好积极财政政策，调整优化支持结构，着力支持打好“三大攻坚战”，推进自治区“三大战略”实施。坚持把改善民生作为首要任务，加大教育、社会保障等事业支出力度。</w:t>
      </w:r>
      <w:r>
        <w:rPr>
          <w:rFonts w:hint="eastAsia"/>
          <w:bCs/>
          <w:kern w:val="0"/>
          <w:lang w:eastAsia="zh-CN"/>
        </w:rPr>
        <w:t>优化支出结构，加大</w:t>
      </w:r>
      <w:r>
        <w:rPr>
          <w:bCs/>
          <w:kern w:val="0"/>
        </w:rPr>
        <w:t>全域旅游、</w:t>
      </w:r>
      <w:r>
        <w:rPr>
          <w:rFonts w:hint="eastAsia"/>
          <w:bCs/>
          <w:kern w:val="0"/>
          <w:lang w:eastAsia="zh-CN"/>
        </w:rPr>
        <w:t>云计算</w:t>
      </w:r>
      <w:r>
        <w:rPr>
          <w:bCs/>
          <w:kern w:val="0"/>
        </w:rPr>
        <w:t>及军民融合、交通物流、环保等</w:t>
      </w:r>
      <w:r>
        <w:rPr>
          <w:rFonts w:hint="eastAsia"/>
          <w:bCs/>
          <w:kern w:val="0"/>
          <w:lang w:eastAsia="zh-CN"/>
        </w:rPr>
        <w:t>投入</w:t>
      </w:r>
      <w:r>
        <w:rPr>
          <w:bCs/>
          <w:kern w:val="0"/>
        </w:rPr>
        <w:t>。</w:t>
      </w:r>
      <w:r>
        <w:rPr>
          <w:rFonts w:hint="eastAsia"/>
          <w:bCs/>
          <w:kern w:val="0"/>
          <w:lang w:eastAsia="zh-CN"/>
        </w:rPr>
        <w:t>积极配合</w:t>
      </w:r>
      <w:r>
        <w:rPr>
          <w:rFonts w:hint="default" w:ascii="Times New Roman" w:hAnsi="Times New Roman" w:eastAsia="仿宋_GB2312" w:cs="Times New Roman"/>
          <w:b w:val="0"/>
          <w:bCs w:val="0"/>
          <w:spacing w:val="11"/>
          <w:sz w:val="32"/>
          <w:szCs w:val="32"/>
          <w:lang w:eastAsia="zh-CN"/>
        </w:rPr>
        <w:t>部门</w:t>
      </w:r>
      <w:r>
        <w:rPr>
          <w:rFonts w:hint="eastAsia"/>
          <w:bCs/>
          <w:kern w:val="0"/>
          <w:lang w:eastAsia="zh-CN"/>
        </w:rPr>
        <w:t>争取项目资金，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认真研究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重点项目及资金投向，用足用活上级政策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力争项目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资金争取工作</w:t>
      </w:r>
      <w:r>
        <w:rPr>
          <w:rFonts w:hint="eastAsia" w:eastAsia="仿宋_GB2312" w:cs="Times New Roman"/>
          <w:sz w:val="32"/>
          <w:szCs w:val="32"/>
          <w:lang w:eastAsia="zh-CN"/>
        </w:rPr>
        <w:t>年内实现质的改变和量的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  <w:rPr>
          <w:bCs/>
          <w:kern w:val="0"/>
        </w:rPr>
      </w:pPr>
      <w:r>
        <w:rPr>
          <w:rFonts w:eastAsia="楷体_GB2312"/>
          <w:b/>
          <w:kern w:val="0"/>
        </w:rPr>
        <w:t>（三）深化财政改革创新，增强高质量发展动力。</w:t>
      </w:r>
      <w:r>
        <w:rPr>
          <w:b/>
          <w:kern w:val="0"/>
        </w:rPr>
        <w:t>一是</w:t>
      </w:r>
      <w:r>
        <w:rPr>
          <w:bCs/>
          <w:kern w:val="0"/>
        </w:rPr>
        <w:t>从7月份启动2019年预算编制工作，编深、编细项目预算，逐项审核项目实施的确定性和绩效性，提高预算编制的准确性和科学性。</w:t>
      </w:r>
      <w:r>
        <w:rPr>
          <w:b/>
          <w:kern w:val="0"/>
        </w:rPr>
        <w:t>二是</w:t>
      </w:r>
      <w:r>
        <w:rPr>
          <w:bCs/>
          <w:kern w:val="0"/>
        </w:rPr>
        <w:t>加强结转结余资金管理，逐项梳理，分类盘活，统筹用于稳增长、促改革、调结构、惠民生支出。</w:t>
      </w:r>
      <w:r>
        <w:rPr>
          <w:b/>
          <w:kern w:val="0"/>
        </w:rPr>
        <w:t>三是</w:t>
      </w:r>
      <w:r>
        <w:rPr>
          <w:bCs/>
          <w:kern w:val="0"/>
        </w:rPr>
        <w:t>推进绩效管理目标考核，按照“代表性较强、社会关注度高”的原则，对重点项目支出开展绩效评价，推动绩效评价结果与预算安排挂钩，切实提高财政资金使用效益。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3"/>
        <w:textAlignment w:val="auto"/>
        <w:outlineLvl w:val="9"/>
      </w:pPr>
      <w:r>
        <w:rPr>
          <w:rFonts w:hint="eastAsia" w:eastAsia="楷体_GB2312"/>
          <w:b/>
          <w:kern w:val="0"/>
          <w:lang w:eastAsia="zh-CN"/>
        </w:rPr>
        <w:t>（四）</w:t>
      </w:r>
      <w:r>
        <w:rPr>
          <w:rFonts w:eastAsia="楷体_GB2312"/>
          <w:b/>
          <w:kern w:val="0"/>
        </w:rPr>
        <w:t>加强政府债务管控，防范化解财政风险。</w:t>
      </w:r>
      <w:r>
        <w:rPr>
          <w:rFonts w:hint="eastAsia"/>
          <w:bCs/>
          <w:kern w:val="0"/>
          <w:lang w:eastAsia="zh-CN"/>
        </w:rPr>
        <w:t>积极消化存量，利用年度预算、盘活存量资金等方式偿还债务；严控新增债务，严格项目建设条件审核，严控新上项目，杜绝以任何方式自行举债，坚决遏制债务增量。采用合规的政府投资基金、</w:t>
      </w:r>
      <w:r>
        <w:rPr>
          <w:rFonts w:hint="eastAsia"/>
          <w:bCs/>
          <w:kern w:val="0"/>
          <w:lang w:val="en-US" w:eastAsia="zh-CN"/>
        </w:rPr>
        <w:t>PPP模式等开展融资担保服务，分类推进融资平台公司市场化转型。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640"/>
        <w:textAlignment w:val="auto"/>
        <w:rPr>
          <w:bCs/>
          <w:kern w:val="0"/>
        </w:rPr>
      </w:pPr>
      <w:r>
        <w:t>附件：1.</w:t>
      </w:r>
      <w:r>
        <w:rPr>
          <w:bCs/>
          <w:kern w:val="0"/>
        </w:rPr>
        <w:t>2017年中卫市财政决算情况表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2.2017年中卫市本级一般公共预算收入决算表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3.2017年中卫市本级一般公共预算支出决算表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4.2017年中卫市本级政府性基金收支决算表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5.2017年中卫市本级社会保险基金收支决算表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6.2018年中卫市财政预算上半年执行情况表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7.2018年中卫市本级一般公共预算收入明细表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8.2018年中卫市本级一般公共预算支出明细表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  <w:rPr>
          <w:bCs/>
          <w:kern w:val="0"/>
        </w:rPr>
      </w:pPr>
      <w:r>
        <w:rPr>
          <w:bCs/>
          <w:kern w:val="0"/>
        </w:rPr>
        <w:t>9.2018年中卫市本级政府性基金预算收支明细表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 w:firstLine="1600" w:firstLineChars="500"/>
        <w:textAlignment w:val="auto"/>
      </w:pPr>
      <w:r>
        <w:rPr>
          <w:bCs/>
          <w:kern w:val="0"/>
        </w:rPr>
        <w:t>10.2018年中卫市本级社会保险基金预算收支明细表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531" w:left="1588" w:header="851" w:footer="1134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2341057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D"/>
    <w:rsid w:val="00183754"/>
    <w:rsid w:val="00284D14"/>
    <w:rsid w:val="00284DFB"/>
    <w:rsid w:val="002B3EDA"/>
    <w:rsid w:val="0055560C"/>
    <w:rsid w:val="00653E79"/>
    <w:rsid w:val="007B4510"/>
    <w:rsid w:val="009E5CD0"/>
    <w:rsid w:val="00A31E42"/>
    <w:rsid w:val="00AF6075"/>
    <w:rsid w:val="00B01EDB"/>
    <w:rsid w:val="00C045E5"/>
    <w:rsid w:val="00EF060D"/>
    <w:rsid w:val="00FD7998"/>
    <w:rsid w:val="0F6069EA"/>
    <w:rsid w:val="0F9F092E"/>
    <w:rsid w:val="104E46F1"/>
    <w:rsid w:val="15DA1318"/>
    <w:rsid w:val="1F1A1E98"/>
    <w:rsid w:val="2F9E5B39"/>
    <w:rsid w:val="344444C1"/>
    <w:rsid w:val="52CA53CB"/>
    <w:rsid w:val="5782551C"/>
    <w:rsid w:val="5B711986"/>
    <w:rsid w:val="5EFA0059"/>
    <w:rsid w:val="65A04531"/>
    <w:rsid w:val="7519424B"/>
    <w:rsid w:val="78D4586E"/>
    <w:rsid w:val="7DC3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972</Words>
  <Characters>5547</Characters>
  <Lines>46</Lines>
  <Paragraphs>13</Paragraphs>
  <TotalTime>5</TotalTime>
  <ScaleCrop>false</ScaleCrop>
  <LinksUpToDate>false</LinksUpToDate>
  <CharactersWithSpaces>6506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2018-09-03T10:23:00Z</dcterms:created>
  <dc:creator>马超</dc:creator>
  <cp:lastModifiedBy>lenovo</cp:lastModifiedBy>
  <cp:lastPrinted>2018-09-03T10:22:00Z</cp:lastPrinted>
  <dcterms:modified xsi:type="dcterms:W3CDTF">2018-09-05T02:44:58Z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