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二、财政拨款收入预算表</w:t>
      </w: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tbl>
      <w:tblPr>
        <w:tblStyle w:val="3"/>
        <w:tblW w:w="1362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659"/>
        <w:gridCol w:w="1276"/>
        <w:gridCol w:w="859"/>
        <w:gridCol w:w="992"/>
        <w:gridCol w:w="1133"/>
        <w:gridCol w:w="1275"/>
        <w:gridCol w:w="1416"/>
        <w:gridCol w:w="1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320"/>
              <w:jc w:val="center"/>
              <w:rPr>
                <w:rFonts w:ascii="宋体" w:hAns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color w:val="000000"/>
                <w:sz w:val="32"/>
                <w:szCs w:val="32"/>
              </w:rPr>
              <w:t>财政拨款收入预算总表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2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24"/>
              </w:rPr>
            </w:pPr>
            <w:r>
              <w:rPr>
                <w:rFonts w:ascii="Calibri" w:hAnsi="Calibri" w:cs="Arial"/>
                <w:color w:val="00000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功能分类科目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2018收入安排总计</w:t>
            </w:r>
          </w:p>
        </w:tc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一般公共财政拨款预算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功能科目编码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功能科目名称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经费拨款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纳入预算管理的行政性事业性收入安排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自治区专项转移支付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自治区一般性转移支付</w:t>
            </w: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中卫市文化体育广播电视局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1,311.88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中卫市图书馆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264.78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2070104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200.40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中卫市文化馆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289.94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2070109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15.74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中卫市体育中心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128.75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2070308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群众体育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中卫市文化市场综合执法队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64.38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文化市场管理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5.97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中卫市文化体育广播电视局机关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410.70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294.90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2080504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未归口管理的行政单位离退休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19.25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12.83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32.08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2101103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中卫市文物管理所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153.33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2080599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2070205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博物馆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90.35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2070204</w:t>
            </w:r>
          </w:p>
        </w:tc>
        <w:tc>
          <w:tcPr>
            <w:tcW w:w="2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文物保护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2080506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2101102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7.65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87179"/>
    <w:rsid w:val="1C98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2018-02-14T02:44:00Z</dcterms:created>
  <dc:creator>Administrator</dc:creator>
  <cp:lastModifiedBy>Administrator</cp:lastModifiedBy>
  <dcterms:modified xsi:type="dcterms:W3CDTF">2018-02-14T02:46:00Z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