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both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沙坡头区</w:t>
      </w:r>
      <w:r>
        <w:rPr>
          <w:rFonts w:ascii="方正小标宋简体" w:eastAsia="方正小标宋简体" w:cs="方正小标宋简体"/>
          <w:sz w:val="32"/>
          <w:szCs w:val="32"/>
        </w:rPr>
        <w:t>2017</w:t>
      </w:r>
      <w:r>
        <w:rPr>
          <w:rFonts w:hint="eastAsia" w:ascii="方正小标宋简体" w:eastAsia="方正小标宋简体" w:cs="方正小标宋简体"/>
          <w:sz w:val="32"/>
          <w:szCs w:val="32"/>
        </w:rPr>
        <w:t>年第一季度城市市政供水厂出厂水及末梢水（水龙头水）监测情况信息表</w:t>
      </w:r>
    </w:p>
    <w:p>
      <w:pPr>
        <w:spacing w:line="576" w:lineRule="exact"/>
        <w:rPr>
          <w:rFonts w:hint="eastAsia" w:ascii="仿宋_GB2312" w:eastAsia="仿宋_GB2312" w:cs="方正小标宋简体"/>
          <w:sz w:val="24"/>
          <w:szCs w:val="24"/>
        </w:rPr>
      </w:pPr>
      <w:r>
        <w:rPr>
          <w:rFonts w:hint="eastAsia" w:ascii="仿宋_GB2312" w:eastAsia="仿宋_GB2312" w:cs="方正小标宋简体"/>
          <w:sz w:val="24"/>
          <w:szCs w:val="24"/>
        </w:rPr>
        <w:t>采样时间：2017年3月28日至4月5日</w:t>
      </w:r>
    </w:p>
    <w:tbl>
      <w:tblPr>
        <w:tblStyle w:val="6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729"/>
        <w:gridCol w:w="1360"/>
        <w:gridCol w:w="1689"/>
        <w:gridCol w:w="1748"/>
        <w:gridCol w:w="1747"/>
        <w:gridCol w:w="883"/>
        <w:gridCol w:w="1030"/>
        <w:gridCol w:w="778"/>
        <w:gridCol w:w="866"/>
        <w:gridCol w:w="1237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5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序号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采样地点</w:t>
            </w:r>
          </w:p>
        </w:tc>
        <w:tc>
          <w:tcPr>
            <w:tcW w:w="11338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监测指标</w:t>
            </w:r>
          </w:p>
        </w:tc>
        <w:tc>
          <w:tcPr>
            <w:tcW w:w="46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51" w:type="dxa"/>
            <w:vMerge w:val="continue"/>
            <w:vAlign w:val="center"/>
          </w:tcPr>
          <w:p/>
        </w:tc>
        <w:tc>
          <w:tcPr>
            <w:tcW w:w="1729" w:type="dxa"/>
            <w:vMerge w:val="continue"/>
            <w:vAlign w:val="center"/>
          </w:tcPr>
          <w:p/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菌落总数（</w:t>
            </w:r>
            <w:r>
              <w:rPr>
                <w:rFonts w:ascii="黑体" w:eastAsia="黑体" w:cs="仿宋_GB2312"/>
                <w:sz w:val="18"/>
                <w:szCs w:val="18"/>
              </w:rPr>
              <w:t>CFU/ml</w:t>
            </w:r>
            <w:r>
              <w:rPr>
                <w:rFonts w:hint="eastAsia" w:ascii="黑体" w:eastAsia="黑体" w:cs="仿宋_GB2312"/>
                <w:sz w:val="18"/>
                <w:szCs w:val="18"/>
              </w:rPr>
              <w:t>）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总大肠菌群（</w:t>
            </w:r>
            <w:r>
              <w:rPr>
                <w:rFonts w:ascii="黑体" w:eastAsia="黑体" w:cs="仿宋_GB2312"/>
                <w:sz w:val="18"/>
                <w:szCs w:val="18"/>
              </w:rPr>
              <w:t>MPN/100ml</w:t>
            </w:r>
            <w:r>
              <w:rPr>
                <w:rFonts w:hint="eastAsia" w:ascii="黑体" w:eastAsia="黑体" w:cs="仿宋_GB2312"/>
                <w:sz w:val="18"/>
                <w:szCs w:val="18"/>
              </w:rPr>
              <w:t>）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大肠埃希氏菌（</w:t>
            </w:r>
            <w:r>
              <w:rPr>
                <w:rFonts w:ascii="黑体" w:eastAsia="黑体" w:cs="仿宋_GB2312"/>
                <w:sz w:val="18"/>
                <w:szCs w:val="18"/>
              </w:rPr>
              <w:t>MPN/100ml</w:t>
            </w:r>
            <w:r>
              <w:rPr>
                <w:rFonts w:hint="eastAsia" w:ascii="黑体" w:eastAsia="黑体" w:cs="仿宋_GB2312"/>
                <w:sz w:val="18"/>
                <w:szCs w:val="18"/>
              </w:rPr>
              <w:t>）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耐热大肠菌群（</w:t>
            </w:r>
            <w:r>
              <w:rPr>
                <w:rFonts w:ascii="黑体" w:eastAsia="黑体" w:cs="仿宋_GB2312"/>
                <w:sz w:val="18"/>
                <w:szCs w:val="18"/>
              </w:rPr>
              <w:t>MPN/100ml</w:t>
            </w:r>
            <w:r>
              <w:rPr>
                <w:rFonts w:hint="eastAsia" w:ascii="黑体" w:eastAsia="黑体" w:cs="仿宋_GB2312"/>
                <w:sz w:val="18"/>
                <w:szCs w:val="18"/>
              </w:rPr>
              <w:t>）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色度（度）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浑浊度（</w:t>
            </w:r>
            <w:r>
              <w:rPr>
                <w:rFonts w:ascii="黑体" w:eastAsia="黑体" w:cs="仿宋_GB2312"/>
                <w:sz w:val="18"/>
                <w:szCs w:val="18"/>
              </w:rPr>
              <w:t>NUT</w:t>
            </w:r>
            <w:r>
              <w:rPr>
                <w:rFonts w:hint="eastAsia" w:ascii="黑体" w:eastAsia="黑体" w:cs="仿宋_GB2312"/>
                <w:sz w:val="18"/>
                <w:szCs w:val="18"/>
              </w:rPr>
              <w:t>）</w:t>
            </w: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臭和味</w:t>
            </w: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耗氧量（</w:t>
            </w:r>
            <w:r>
              <w:rPr>
                <w:rFonts w:ascii="黑体" w:eastAsia="黑体" w:cs="仿宋_GB2312"/>
                <w:sz w:val="18"/>
                <w:szCs w:val="18"/>
              </w:rPr>
              <w:t>mg/l</w:t>
            </w:r>
            <w:r>
              <w:rPr>
                <w:rFonts w:hint="eastAsia" w:ascii="黑体" w:eastAsia="黑体" w:cs="仿宋_GB2312"/>
                <w:sz w:val="18"/>
                <w:szCs w:val="18"/>
              </w:rPr>
              <w:t>）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仿宋_GB2312"/>
                <w:sz w:val="18"/>
                <w:szCs w:val="18"/>
              </w:rPr>
            </w:pPr>
            <w:r>
              <w:rPr>
                <w:rFonts w:hint="eastAsia" w:ascii="黑体" w:eastAsia="黑体" w:cs="仿宋_GB2312"/>
                <w:sz w:val="18"/>
                <w:szCs w:val="18"/>
              </w:rPr>
              <w:t>游离性余氯（</w:t>
            </w:r>
            <w:r>
              <w:rPr>
                <w:rFonts w:ascii="黑体" w:eastAsia="黑体" w:cs="仿宋_GB2312"/>
                <w:sz w:val="18"/>
                <w:szCs w:val="18"/>
              </w:rPr>
              <w:t>mg/l</w:t>
            </w:r>
            <w:r>
              <w:rPr>
                <w:rFonts w:hint="eastAsia" w:ascii="黑体" w:eastAsia="黑体" w:cs="仿宋_GB2312"/>
                <w:sz w:val="18"/>
                <w:szCs w:val="18"/>
              </w:rPr>
              <w:t>）</w:t>
            </w:r>
          </w:p>
        </w:tc>
        <w:tc>
          <w:tcPr>
            <w:tcW w:w="46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2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18"/>
                <w:szCs w:val="18"/>
              </w:rPr>
              <w:t>《生活饮用水卫生标准》</w:t>
            </w:r>
            <w:r>
              <w:rPr>
                <w:rFonts w:hint="eastAsia" w:ascii="仿宋_GB2312" w:eastAsia="仿宋_GB2312"/>
                <w:snapToGrid w:val="0"/>
                <w:kern w:val="0"/>
                <w:sz w:val="18"/>
                <w:szCs w:val="18"/>
              </w:rPr>
              <w:t>（ＧＢ５７４９－２００６）指标限值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eastAsia="仿宋_GB2312" w:cs="仿宋_GB2312"/>
                <w:snapToGrid w:val="0"/>
                <w:spacing w:val="-20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18"/>
                <w:szCs w:val="18"/>
              </w:rPr>
              <w:t>≤</w:t>
            </w:r>
            <w:r>
              <w:rPr>
                <w:rFonts w:ascii="仿宋_GB2312" w:eastAsia="仿宋_GB2312" w:cs="仿宋_GB2312"/>
                <w:snapToGrid w:val="0"/>
                <w:spacing w:val="-20"/>
                <w:kern w:val="0"/>
                <w:sz w:val="18"/>
                <w:szCs w:val="18"/>
              </w:rPr>
              <w:t>15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18"/>
                <w:szCs w:val="18"/>
              </w:rPr>
              <w:t>≤１</w:t>
            </w: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18"/>
                <w:szCs w:val="18"/>
              </w:rPr>
              <w:t>≤３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napToGrid w:val="0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cs="仿宋_GB2312"/>
                <w:snapToGrid w:val="0"/>
                <w:spacing w:val="-20"/>
                <w:kern w:val="0"/>
                <w:sz w:val="18"/>
                <w:szCs w:val="18"/>
              </w:rPr>
              <w:t>0.05</w:t>
            </w:r>
          </w:p>
        </w:tc>
        <w:tc>
          <w:tcPr>
            <w:tcW w:w="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１</w:t>
            </w:r>
          </w:p>
        </w:tc>
        <w:tc>
          <w:tcPr>
            <w:tcW w:w="172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出厂水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＜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0.2</w:t>
            </w: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无</w:t>
            </w: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1.20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0.56</w:t>
            </w:r>
          </w:p>
        </w:tc>
        <w:tc>
          <w:tcPr>
            <w:tcW w:w="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２</w:t>
            </w:r>
          </w:p>
        </w:tc>
        <w:tc>
          <w:tcPr>
            <w:tcW w:w="17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鼓楼东街（中卫市疾控中心）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＜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0.1</w:t>
            </w: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无</w:t>
            </w: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1.05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0.43</w:t>
            </w:r>
          </w:p>
        </w:tc>
        <w:tc>
          <w:tcPr>
            <w:tcW w:w="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３</w:t>
            </w:r>
          </w:p>
        </w:tc>
        <w:tc>
          <w:tcPr>
            <w:tcW w:w="17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平安路（中卫市众一山水小区）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＜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  <w:t>0.2</w:t>
            </w: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无</w:t>
            </w: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1.11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0.38</w:t>
            </w:r>
          </w:p>
        </w:tc>
        <w:tc>
          <w:tcPr>
            <w:tcW w:w="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４</w:t>
            </w:r>
          </w:p>
        </w:tc>
        <w:tc>
          <w:tcPr>
            <w:tcW w:w="17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鼓楼西街（滨河城市花园）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＜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0.3</w:t>
            </w: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无</w:t>
            </w: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1.04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0.42</w:t>
            </w:r>
          </w:p>
        </w:tc>
        <w:tc>
          <w:tcPr>
            <w:tcW w:w="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５</w:t>
            </w:r>
          </w:p>
        </w:tc>
        <w:tc>
          <w:tcPr>
            <w:tcW w:w="17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鼓楼北街（中卫大酒店）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＜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0.3</w:t>
            </w: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无</w:t>
            </w: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1.01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0.40</w:t>
            </w:r>
          </w:p>
        </w:tc>
        <w:tc>
          <w:tcPr>
            <w:tcW w:w="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６</w:t>
            </w:r>
          </w:p>
        </w:tc>
        <w:tc>
          <w:tcPr>
            <w:tcW w:w="17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鼓楼东街（中卫市幼儿园）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＜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0.2</w:t>
            </w: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无</w:t>
            </w: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1.21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0.40</w:t>
            </w:r>
          </w:p>
        </w:tc>
        <w:tc>
          <w:tcPr>
            <w:tcW w:w="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仿宋_GB2312" w:eastAsia="仿宋_GB2312" w:cs="仿宋_GB2312"/>
          <w:sz w:val="24"/>
          <w:szCs w:val="24"/>
        </w:rPr>
      </w:pPr>
    </w:p>
    <w:p>
      <w:pPr>
        <w:jc w:val="left"/>
      </w:pPr>
      <w:r>
        <w:rPr>
          <w:rFonts w:hint="eastAsia" w:ascii="仿宋_GB2312" w:eastAsia="仿宋_GB2312" w:cs="仿宋_GB2312"/>
          <w:sz w:val="24"/>
          <w:szCs w:val="24"/>
        </w:rPr>
        <w:t>填报单位：中卫市疾病预防控制中心      填报人：刘莉</w:t>
      </w:r>
      <w:r>
        <w:rPr>
          <w:rFonts w:ascii="仿宋_GB2312" w:eastAsia="仿宋_GB2312" w:cs="仿宋_GB2312"/>
          <w:sz w:val="24"/>
          <w:szCs w:val="24"/>
        </w:rPr>
        <w:t xml:space="preserve">      </w:t>
      </w:r>
      <w:r>
        <w:rPr>
          <w:rFonts w:hint="eastAsia" w:ascii="仿宋_GB2312" w:eastAsia="仿宋_GB2312" w:cs="仿宋_GB2312"/>
          <w:sz w:val="24"/>
          <w:szCs w:val="24"/>
        </w:rPr>
        <w:t>单位负责人：雍东播</w:t>
      </w:r>
      <w:r>
        <w:rPr>
          <w:rFonts w:ascii="仿宋_GB2312" w:eastAsia="仿宋_GB2312" w:cs="仿宋_GB2312"/>
          <w:sz w:val="24"/>
          <w:szCs w:val="24"/>
        </w:rPr>
        <w:t xml:space="preserve">         </w:t>
      </w:r>
      <w:r>
        <w:rPr>
          <w:rFonts w:hint="eastAsia" w:ascii="仿宋_GB2312" w:eastAsia="仿宋_GB2312" w:cs="仿宋_GB2312"/>
          <w:sz w:val="24"/>
          <w:szCs w:val="24"/>
        </w:rPr>
        <w:t xml:space="preserve">  填报时间：</w:t>
      </w:r>
      <w:r>
        <w:rPr>
          <w:rFonts w:ascii="仿宋_GB2312" w:eastAsia="仿宋_GB2312" w:cs="仿宋_GB2312"/>
          <w:sz w:val="24"/>
          <w:szCs w:val="24"/>
        </w:rPr>
        <w:t>2017</w:t>
      </w: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>26</w:t>
      </w:r>
      <w:r>
        <w:rPr>
          <w:rFonts w:hint="eastAsia" w:ascii="仿宋_GB2312" w:eastAsia="仿宋_GB2312" w:cs="仿宋_GB2312"/>
          <w:sz w:val="24"/>
          <w:szCs w:val="24"/>
        </w:rPr>
        <w:t>日</w:t>
      </w:r>
    </w:p>
    <w:sectPr>
      <w:pgSz w:w="16838" w:h="11906" w:orient="landscape"/>
      <w:pgMar w:top="1633" w:right="1610" w:bottom="1633" w:left="1497" w:header="851" w:footer="992" w:gutter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BAF2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546</Words>
  <Characters>661</Characters>
  <Lines>140</Lines>
  <Paragraphs>100</Paragraphs>
  <TotalTime>0</TotalTime>
  <ScaleCrop>false</ScaleCrop>
  <LinksUpToDate>false</LinksUpToDate>
  <CharactersWithSpaces>683</CharactersWithSpaces>
  <Application>WPS Office_10.1.0.7106_F1E327BC-269C-435d-A152-05C5408002CA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2017-04-27T07:10:00Z</dcterms:created>
  <dc:creator>Administrator</dc:creator>
  <cp:lastModifiedBy>橙子</cp:lastModifiedBy>
  <cp:lastPrinted>2017-05-02T01:30:00Z</cp:lastPrinted>
  <dcterms:modified xsi:type="dcterms:W3CDTF">2018-01-19T03:19:28Z</dcterms:modified>
  <dc:title>附件：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