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31"/>
        <w:gridCol w:w="1465"/>
        <w:gridCol w:w="1470"/>
        <w:gridCol w:w="2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32"/>
                <w:szCs w:val="32"/>
              </w:rPr>
              <w:t>一般公共预算基本支出表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9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编制单位：中卫市卫生和计划生育局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经济科目</w:t>
            </w:r>
          </w:p>
        </w:tc>
        <w:tc>
          <w:tcPr>
            <w:tcW w:w="49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人员支出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总计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14169.10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12741.59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1427.51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一、工资福利支出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11862.12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11862.12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3098.48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3098.48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津贴补贴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813.98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813.98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奖金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1849.58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1849.58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30104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社会保障缴费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2664.52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2664.52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30106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伙食补助费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30107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绩效工资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1925.32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1925.32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30199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其他工资福利支出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1510.24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1510.24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二、商品和服务支出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1424.51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1424.51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办公费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83.50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印刷费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42.30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42.30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咨询费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0.30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30204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手续费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0.70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30205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水费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17.60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17.60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30206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电费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57.92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57.92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30207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24.45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30208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取暖费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116.82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116.82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30209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物业管理费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52.90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52.90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维修（护）费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80.70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80.70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30214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租赁费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30215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30216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17.80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17.80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30217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30218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专用材料费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30224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被装购置费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30225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专用燃料费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30226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209.30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209.30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30227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委托业务费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30228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31.07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31.07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30229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30231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30239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其他交通费用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30240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税金及附加费用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30299</w:t>
            </w:r>
          </w:p>
        </w:tc>
        <w:tc>
          <w:tcPr>
            <w:tcW w:w="233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685.15 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685.15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三、对个人和家庭的补助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879.47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879.47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30301</w:t>
            </w:r>
          </w:p>
        </w:tc>
        <w:tc>
          <w:tcPr>
            <w:tcW w:w="233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离休费</w:t>
            </w:r>
          </w:p>
        </w:tc>
        <w:tc>
          <w:tcPr>
            <w:tcW w:w="146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41.65 </w:t>
            </w:r>
          </w:p>
        </w:tc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41.65 </w:t>
            </w:r>
          </w:p>
        </w:tc>
        <w:tc>
          <w:tcPr>
            <w:tcW w:w="206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退休费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退职（役）费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30304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抚恤金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30305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生活补助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35.03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35.03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30306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救济费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30307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医疗费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87.37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87.37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30308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助学金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30309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奖励金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30310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生产补贴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30311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715.42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715.42 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30312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提租补贴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30313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购房补贴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30314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采暖补贴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30315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物业服务补贴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30399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其他对个人和家庭的补助支出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310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kern w:val="0"/>
                <w:sz w:val="22"/>
                <w:szCs w:val="22"/>
              </w:rPr>
              <w:t>四、其他资本性支出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30102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办公设备购置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30103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专用设备购置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30107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信息网络及软件购置更新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30199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F31A9"/>
    <w:rsid w:val="0A9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2018-02-12T01:09:00Z</dcterms:created>
  <dc:creator>Administrator</dc:creator>
  <cp:lastModifiedBy>Administrator</cp:lastModifiedBy>
  <dcterms:modified xsi:type="dcterms:W3CDTF">2018-02-12T01:09:44Z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