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1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二、财政拨款收入预算表</w:t>
      </w:r>
    </w:p>
    <w:p>
      <w:pPr>
        <w:widowControl/>
        <w:outlineLvl w:val="1"/>
        <w:rPr>
          <w:rFonts w:hint="eastAsia" w:ascii="黑体" w:hAnsi="宋体" w:eastAsia="黑体"/>
          <w:b/>
          <w:kern w:val="0"/>
          <w:szCs w:val="32"/>
        </w:rPr>
      </w:pPr>
    </w:p>
    <w:tbl>
      <w:tblPr>
        <w:tblStyle w:val="3"/>
        <w:tblW w:w="141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3125"/>
        <w:gridCol w:w="1620"/>
        <w:gridCol w:w="1080"/>
        <w:gridCol w:w="1080"/>
        <w:gridCol w:w="1637"/>
        <w:gridCol w:w="1367"/>
        <w:gridCol w:w="1136"/>
        <w:gridCol w:w="14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36"/>
                <w:szCs w:val="36"/>
              </w:rPr>
              <w:t>财政拨款收入预算总表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2018收入安排总计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一般公共财政拨款预算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政府性基金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功能科目编码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功能科目名称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纳入预算管理的行政性事业性收入安排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自治区专项转移支付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自治区一般性转移支付</w:t>
            </w: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中卫市</w:t>
            </w: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云计算和大数据发展服务局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59.3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59.3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59.3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中卫市</w:t>
            </w: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云计算和大数据发展服务局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59.3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59.3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59.3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2019999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eastAsia="zh-CN"/>
              </w:rPr>
              <w:t>其他一般公共服务支出务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48.99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48.99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48.99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机关事业单位养老保险缴费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5.16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2080506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机关事业单位职业年金缴费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2.06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2101102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3.09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3.09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3.09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2018-02-22T09:06:12Z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