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1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七、政府性基金预算支出表</w:t>
      </w:r>
    </w:p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bookmarkStart w:id="0" w:name="_GoBack"/>
      <w:r>
        <w:rPr>
          <w:rFonts w:hint="eastAsia" w:ascii="仿宋_GB2312" w:hAnsi="宋体" w:eastAsia="仿宋_GB2312"/>
          <w:b/>
          <w:kern w:val="0"/>
          <w:sz w:val="36"/>
          <w:szCs w:val="36"/>
        </w:rPr>
        <w:t>政府性基金预算支出表</w:t>
      </w:r>
    </w:p>
    <w:bookmarkEnd w:id="0"/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 xml:space="preserve">                                            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单位：万元</w:t>
      </w:r>
    </w:p>
    <w:tbl>
      <w:tblPr>
        <w:tblStyle w:val="3"/>
        <w:tblW w:w="137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03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2018年预算安排总计</w:t>
            </w:r>
          </w:p>
        </w:tc>
        <w:tc>
          <w:tcPr>
            <w:tcW w:w="8640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94587"/>
    <w:rsid w:val="6859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2018-02-22T09:10:00Z</dcterms:created>
  <dc:creator>Administrator</dc:creator>
  <cp:lastModifiedBy>Administrator</cp:lastModifiedBy>
  <dcterms:modified xsi:type="dcterms:W3CDTF">2018-02-22T09:11:26Z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